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2A" w:rsidRPr="0016162A" w:rsidRDefault="0021393A" w:rsidP="0016162A">
      <w:pPr>
        <w:spacing w:after="0"/>
        <w:jc w:val="center"/>
        <w:rPr>
          <w:rFonts w:ascii="Trebuchet MS" w:hAnsi="Trebuchet MS"/>
          <w:b/>
          <w:color w:val="2E74B5" w:themeColor="accent5" w:themeShade="BF"/>
          <w:sz w:val="30"/>
          <w:szCs w:val="30"/>
          <w:lang w:val="ro-RO"/>
        </w:rPr>
      </w:pPr>
      <w:bookmarkStart w:id="0" w:name="_Toc500149999"/>
      <w:r w:rsidRPr="0016162A">
        <w:rPr>
          <w:rFonts w:ascii="Trebuchet MS" w:hAnsi="Trebuchet MS"/>
          <w:b/>
          <w:color w:val="2E74B5" w:themeColor="accent5" w:themeShade="BF"/>
          <w:sz w:val="30"/>
          <w:szCs w:val="30"/>
          <w:lang w:val="ro-RO"/>
        </w:rPr>
        <w:t>FIȘA MĂSURII</w:t>
      </w:r>
    </w:p>
    <w:p w:rsidR="0016162A" w:rsidRPr="0016162A" w:rsidRDefault="0016162A" w:rsidP="0016162A">
      <w:pPr>
        <w:pStyle w:val="Heading2"/>
        <w:spacing w:before="0"/>
        <w:jc w:val="center"/>
        <w:rPr>
          <w:rFonts w:ascii="Trebuchet MS" w:hAnsi="Trebuchet MS"/>
          <w:i/>
          <w:color w:val="2E74B5" w:themeColor="accent5" w:themeShade="BF"/>
          <w:lang w:val="ro-RO"/>
        </w:rPr>
      </w:pPr>
      <w:bookmarkStart w:id="1" w:name="_Toc6154032"/>
      <w:r w:rsidRPr="0016162A">
        <w:rPr>
          <w:rFonts w:ascii="Trebuchet MS" w:hAnsi="Trebuchet MS"/>
          <w:i/>
          <w:color w:val="2E74B5" w:themeColor="accent5" w:themeShade="BF"/>
          <w:lang w:val="ro-RO"/>
        </w:rPr>
        <w:t>M1/1C</w:t>
      </w:r>
      <w:bookmarkEnd w:id="1"/>
      <w:r w:rsidRPr="0016162A">
        <w:rPr>
          <w:rFonts w:ascii="Trebuchet MS" w:hAnsi="Trebuchet MS"/>
          <w:i/>
          <w:color w:val="2E74B5" w:themeColor="accent5" w:themeShade="BF"/>
          <w:lang w:val="ro-RO"/>
        </w:rPr>
        <w:t xml:space="preserve"> Formare profesionala</w:t>
      </w:r>
    </w:p>
    <w:p w:rsidR="0016162A" w:rsidRDefault="0016162A" w:rsidP="0016162A">
      <w:pPr>
        <w:spacing w:after="0"/>
        <w:jc w:val="both"/>
        <w:rPr>
          <w:rFonts w:ascii="Trebuchet MS" w:hAnsi="Trebuchet MS"/>
          <w:lang w:val="ro-RO"/>
        </w:rPr>
      </w:pPr>
    </w:p>
    <w:p w:rsidR="0016162A" w:rsidRDefault="0016162A" w:rsidP="0016162A">
      <w:pPr>
        <w:spacing w:after="0"/>
        <w:jc w:val="both"/>
        <w:rPr>
          <w:rFonts w:ascii="Trebuchet MS" w:hAnsi="Trebuchet MS"/>
          <w:lang w:val="ro-RO"/>
        </w:rPr>
      </w:pPr>
      <w:r w:rsidRPr="0016162A">
        <w:rPr>
          <w:rFonts w:ascii="Trebuchet MS" w:hAnsi="Trebuchet MS"/>
          <w:lang w:val="ro-RO"/>
        </w:rPr>
        <w:t>Tipul masurii – servicii</w:t>
      </w:r>
    </w:p>
    <w:p w:rsidR="00281A13" w:rsidRPr="0016162A" w:rsidRDefault="00281A13" w:rsidP="0016162A">
      <w:pPr>
        <w:spacing w:after="0"/>
        <w:jc w:val="both"/>
        <w:rPr>
          <w:rFonts w:ascii="Trebuchet MS" w:hAnsi="Trebuchet MS"/>
          <w:lang w:val="ro-RO"/>
        </w:rPr>
      </w:pPr>
      <w:bookmarkStart w:id="2" w:name="_GoBack"/>
      <w:bookmarkEnd w:id="2"/>
    </w:p>
    <w:p w:rsidR="0016162A" w:rsidRPr="0016162A" w:rsidRDefault="0016162A" w:rsidP="0016162A">
      <w:pPr>
        <w:spacing w:after="0"/>
        <w:jc w:val="both"/>
        <w:rPr>
          <w:rFonts w:ascii="Trebuchet MS" w:hAnsi="Trebuchet MS"/>
          <w:bCs/>
          <w:lang w:val="ro-RO" w:eastAsia="ro-RO"/>
        </w:rPr>
      </w:pPr>
      <w:r w:rsidRPr="0016162A">
        <w:rPr>
          <w:rFonts w:ascii="Trebuchet MS" w:hAnsi="Trebuchet MS"/>
          <w:lang w:val="ro-RO"/>
        </w:rPr>
        <w:t>1.</w:t>
      </w:r>
      <w:r w:rsidRPr="0016162A">
        <w:rPr>
          <w:rFonts w:ascii="Trebuchet MS" w:hAnsi="Trebuchet MS"/>
          <w:i/>
          <w:lang w:val="ro-RO"/>
        </w:rPr>
        <w:t>Descrierea generală a măsurii, inclusiv a logicii de interventie a acesteia si a contribuției la prioritatile strategiei, la domeniile de interventie, la obiectivele transversale si a complementaritatii cu alte masuri din SDL</w:t>
      </w:r>
      <w:r w:rsidRPr="0016162A">
        <w:rPr>
          <w:rFonts w:ascii="Trebuchet MS" w:hAnsi="Trebuchet MS"/>
          <w:lang w:val="ro-RO"/>
        </w:rPr>
        <w:t xml:space="preserve">. </w:t>
      </w:r>
    </w:p>
    <w:p w:rsidR="0016162A" w:rsidRPr="0016162A" w:rsidRDefault="0016162A" w:rsidP="0016162A">
      <w:pPr>
        <w:spacing w:after="0"/>
        <w:jc w:val="both"/>
        <w:rPr>
          <w:rFonts w:ascii="Trebuchet MS" w:hAnsi="Trebuchet MS"/>
          <w:lang w:val="ro-RO"/>
        </w:rPr>
      </w:pPr>
      <w:r w:rsidRPr="0016162A">
        <w:rPr>
          <w:rFonts w:ascii="Trebuchet MS" w:hAnsi="Trebuchet MS"/>
          <w:lang w:val="ro-RO" w:eastAsia="ro-RO"/>
        </w:rPr>
        <w:t xml:space="preserve">Din analiza SWOT, realizata la nivelul teritoriului GAL, au fost identificate nevoi privind diminuarea efectelor produse de </w:t>
      </w:r>
      <w:r w:rsidRPr="0016162A">
        <w:rPr>
          <w:rFonts w:ascii="Trebuchet MS" w:hAnsi="Trebuchet MS"/>
          <w:lang w:val="ro-RO"/>
        </w:rPr>
        <w:t>procesul de imbatrinire a populatiei care lucreaza in agricultura, evident la nivelul tuturor localitatilor.</w:t>
      </w:r>
      <w:r w:rsidRPr="0016162A">
        <w:rPr>
          <w:rFonts w:ascii="Trebuchet MS" w:hAnsi="Trebuchet MS"/>
          <w:lang w:val="ro-RO" w:eastAsia="ro-RO"/>
        </w:rPr>
        <w:t xml:space="preserve">Atragerea </w:t>
      </w:r>
      <w:r w:rsidRPr="0016162A">
        <w:rPr>
          <w:rFonts w:ascii="Trebuchet MS" w:hAnsi="Trebuchet MS"/>
          <w:lang w:val="ro-RO"/>
        </w:rPr>
        <w:t>populatiei tinere catre sectorul agricol devine o prioritate pentru stabilizarea tinerilor si implicarea lor in acest sector.</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Agricultura practicata la nivelul teritoriului GAL are la baza experienta dobindita de catre localnici de-a lungul timpului, cu implicatii la nivelul productivitatii muncii, a protectiei mediului si valorificarii produselor.</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Sustinerea unor cursuri de formare profesionala continua, care sa asigure in rindul fermierilor un nivel de cunoastere imbunatatit privind tehnologiile de cultura si de crestere a animalelor in acord cu protejarea mediului, cunoasterea modului de obtinere si atestare a unui „produs traditional”, aspecte de fiscalitate, constituie o oportunitate pentru zona.</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Posibilitatea de a dezvolta sectorul „produselor traditionale”, ofera producatorilor posibilitatea de obtinere a unor venituri mai mari, aceasta fiind o solutie inovativa, in sensul in care aduce o rezolvare noua la o problema existenta.</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 xml:space="preserve">In acest context formarea profesionala continua pentru locuitorii GAL care activeaza in sectorul agricol va fi o oportunitate pentru a dezvolta competente noi, utile in activitatea curenta de la nivelul fermei , dar si pentru a le da posibiliatea sa se diversifice la nivelul produselor obtinute, sa le poata valorifica mai usor si mai eficient. </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Formarea profesionala contiuna se va face atit in cadrul unor cursuri de formare de scurta durata vizind obtinerea unor competente din domeniul in care activeaza cursantii, cit si in cadrul unor seminarii prin care vor fi sustinute activitati de informare asupra unor aspecte generale care privesc managementul de la nivelul fermei.</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La aceste cursuri vor fi paricipanti din toate localitatile GAL, selectati de catre furnizorul de formare in baza unor criterii care sa asigure omogenitate grupului, putind astfel sa fie adaptat continutul cursului la nivelul de instruire al participantilor. Vor fi vizati cu precadere tinerii fermieri si cei care au beneficiat de sprijin financiar pentru instalarea lor, dar si alte categorii interesate de aceste cursuri. Participarea este transparenta si nediscriminatorie.</w:t>
      </w:r>
    </w:p>
    <w:p w:rsidR="0016162A" w:rsidRPr="0016162A" w:rsidRDefault="0016162A" w:rsidP="0016162A">
      <w:pPr>
        <w:spacing w:after="0"/>
        <w:jc w:val="both"/>
        <w:rPr>
          <w:rFonts w:ascii="Trebuchet MS" w:hAnsi="Trebuchet MS"/>
          <w:lang w:val="ro-RO"/>
        </w:rPr>
      </w:pP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Numarul sesiunilor de formare se vor stabili de catre furnizorul de formare, functie de solicitarile de participare primite din teritoriu, dar se va urmari ca numarul cursantilor sa fie astfel stabilit incit sa confere eficienta acestor cursuri. In acest sens, pentru realizarea unui curs se va urmari participarea a minim 15 cursanti, iar durata unui curs va fi de minim 5 zile. Cursurile nu vor fi de calificare, vor fi cursuri de initiere, specializare, perfectionare.</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lastRenderedPageBreak/>
        <w:t>Ele se pot desfasura si in afara teritoriului GAL, pentru a exista posibilitatea asigurarii unui suport logistic corespunzator.</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 xml:space="preserve">Seminariile de informare se vor desfasura pe durata a 1-2 zile si vor participa persoanele interesate de subiectul prezentat. Aceste seminarii pot fi realizate si sub forma unor vizite de lucru, pentru aplicatiile practice care ar putea interesa participantii si de asemenea se pot organiza in afara spatiului eligibil al GAL.  </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 xml:space="preserve">Masura vizeaza realizarea </w:t>
      </w:r>
      <w:r w:rsidRPr="0016162A">
        <w:rPr>
          <w:rFonts w:ascii="Trebuchet MS" w:hAnsi="Trebuchet MS"/>
          <w:i/>
          <w:lang w:val="ro-RO"/>
        </w:rPr>
        <w:t xml:space="preserve">I.Obiectivul de restructurare si crestere a viabilitatii exploatatiilor agricole </w:t>
      </w:r>
      <w:r w:rsidRPr="0016162A">
        <w:rPr>
          <w:rFonts w:ascii="Trebuchet MS" w:hAnsi="Trebuchet MS"/>
          <w:lang w:val="ro-RO"/>
        </w:rPr>
        <w:t>(Art.4 din Reg.1305/2013) si rapunde obiectivului specific care se desprinde din analiza SWOT intreprinsa de „sustinerea sectorului agricol prin atragerea tinerilor fermieri sa dezvolte exploatatii agricole viabile prin ferme de familie”.</w:t>
      </w:r>
    </w:p>
    <w:p w:rsidR="0016162A" w:rsidRPr="0016162A" w:rsidRDefault="0016162A" w:rsidP="0016162A">
      <w:pPr>
        <w:spacing w:after="0"/>
        <w:jc w:val="both"/>
        <w:rPr>
          <w:rFonts w:ascii="Trebuchet MS" w:hAnsi="Trebuchet MS"/>
          <w:i/>
          <w:lang w:val="ro-RO"/>
        </w:rPr>
      </w:pPr>
      <w:r w:rsidRPr="0016162A">
        <w:rPr>
          <w:rFonts w:ascii="Trebuchet MS" w:hAnsi="Trebuchet MS"/>
          <w:lang w:val="ro-RO"/>
        </w:rPr>
        <w:t>Masura priveste</w:t>
      </w:r>
      <w:r w:rsidRPr="0016162A">
        <w:rPr>
          <w:rFonts w:ascii="Trebuchet MS" w:hAnsi="Trebuchet MS"/>
          <w:i/>
          <w:lang w:val="ro-RO"/>
        </w:rPr>
        <w:t xml:space="preserve"> prioritatea P1: Incurajarea transferului de cunostinte si a inovarii in agricultura, silvicultura si zonele rurale,</w:t>
      </w:r>
      <w:r w:rsidRPr="0016162A">
        <w:rPr>
          <w:rFonts w:ascii="Trebuchet MS" w:hAnsi="Trebuchet MS"/>
          <w:lang w:val="ro-RO"/>
        </w:rPr>
        <w:t xml:space="preserve"> (Art.5</w:t>
      </w:r>
      <w:r w:rsidRPr="0016162A">
        <w:rPr>
          <w:rFonts w:ascii="Trebuchet MS" w:hAnsi="Trebuchet MS"/>
          <w:i/>
          <w:lang w:val="ro-RO"/>
        </w:rPr>
        <w:t xml:space="preserve"> </w:t>
      </w:r>
      <w:r w:rsidRPr="0016162A">
        <w:rPr>
          <w:rFonts w:ascii="Trebuchet MS" w:hAnsi="Trebuchet MS"/>
          <w:lang w:val="ro-RO"/>
        </w:rPr>
        <w:t>din Reg.1305/2013).</w:t>
      </w:r>
    </w:p>
    <w:p w:rsidR="0016162A" w:rsidRPr="0016162A" w:rsidRDefault="0016162A" w:rsidP="0016162A">
      <w:pPr>
        <w:spacing w:after="0"/>
        <w:jc w:val="both"/>
        <w:rPr>
          <w:rFonts w:ascii="Trebuchet MS" w:hAnsi="Trebuchet MS"/>
          <w:i/>
          <w:lang w:val="ro-RO"/>
        </w:rPr>
      </w:pPr>
      <w:r w:rsidRPr="0016162A">
        <w:rPr>
          <w:rFonts w:ascii="Trebuchet MS" w:hAnsi="Trebuchet MS"/>
          <w:lang w:val="ro-RO"/>
        </w:rPr>
        <w:t xml:space="preserve">Masura contribuie la </w:t>
      </w:r>
      <w:r w:rsidRPr="0016162A">
        <w:rPr>
          <w:rFonts w:ascii="Trebuchet MS" w:hAnsi="Trebuchet MS"/>
          <w:i/>
          <w:lang w:val="ro-RO"/>
        </w:rPr>
        <w:t xml:space="preserve">Domeniul de interventie 1C –Incurajarea invatarii pe tot parcursul  vietii si a formarii profesionale in sectoarele agricol si forestier (domeniu principal) </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Masura corespunde obiectivelor Art.14 (1) din Reg.1305/2013 si vizeaza un sprijin financiar acordat furnizorilor de formare profesionala.</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Implementarea acestei masuri ce priveste  prioritatea P1, contribuie la realizarea</w:t>
      </w:r>
      <w:r w:rsidRPr="0016162A">
        <w:rPr>
          <w:rFonts w:ascii="Trebuchet MS" w:hAnsi="Trebuchet MS"/>
          <w:i/>
          <w:lang w:val="ro-RO"/>
        </w:rPr>
        <w:t xml:space="preserve"> obiectivelor transversale legate de inovare prin</w:t>
      </w:r>
      <w:r w:rsidRPr="0016162A">
        <w:rPr>
          <w:rFonts w:ascii="Trebuchet MS" w:hAnsi="Trebuchet MS"/>
          <w:lang w:val="ro-RO"/>
        </w:rPr>
        <w:t>:</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imbunatatirea competitivitatii producatorilor agricoli dobindirea de competente care sa le asigure o mai buna intelegere a functionarii lantului agro-alimentar scurt si realizarea de produse diversificate, cu valoare adaugata crescuta.</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2. Valoarea adaugata a masurii</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 xml:space="preserve">Valoarea adaugata a masurii este data de cresterea nivelului de poductivitate a sectorului agricol la nivel local prin imbunatatirea competitivitatii producatorilor agricoli, ce vor dobindi competente profesionale noi si practicarea unei agriculturi in acord cu cerintele tehnologice si de protectie a mediului. Masura va contribui si la desfasurarea unei activitati de valorificare mai eficienta a produselor, pe plan local, printr-o mai buna intelegere a </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functionarii lantului agro-alimentar scurt si realizarea de produse diversificate, cu valoare adaugata crescuta.</w:t>
      </w:r>
    </w:p>
    <w:p w:rsidR="0016162A" w:rsidRPr="0016162A" w:rsidRDefault="0016162A" w:rsidP="0016162A">
      <w:pPr>
        <w:spacing w:after="0"/>
        <w:jc w:val="both"/>
        <w:rPr>
          <w:rFonts w:ascii="Trebuchet MS" w:hAnsi="Trebuchet MS"/>
          <w:lang w:val="ro-RO"/>
        </w:rPr>
      </w:pP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3. Trimiteri la alte acte legislative:</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Hotarirea nr.226/2015 privind stabilirea cadrului general de implementare a masurilor programului national de dezvoltare rurala cofinantate din Fondul European Agricol pentru Dezvoltare Rurala si de la bugetul de stat, art.3-15 si art.24(4).</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 xml:space="preserve"> Legea Nr. 1/2011 a educaţiei naţionale cu modificările și completările ulterioare; </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Ordonanţa de Guvern (OG) Nr. 8 din 23 ianuarie 2013 pentru modificarea şi completarea Legii nr. 571/2003 privind Codul fiscal şi reglementarea unor măsuri financiar-fiscale.</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4. Beneficiarii eligibili</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Entități publice sau private care sunt furnizori de servicii de formare si de actiuni de informare.</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5.Tipul de sprijin</w:t>
      </w:r>
    </w:p>
    <w:p w:rsidR="0016162A" w:rsidRPr="0016162A" w:rsidRDefault="0016162A" w:rsidP="0016162A">
      <w:pPr>
        <w:spacing w:after="0"/>
        <w:jc w:val="both"/>
        <w:rPr>
          <w:rFonts w:ascii="Trebuchet MS" w:eastAsia="Times New Roman" w:hAnsi="Trebuchet MS" w:cs="Calibri"/>
          <w:bCs/>
          <w:color w:val="000000"/>
          <w:lang w:val="ro-RO"/>
        </w:rPr>
      </w:pPr>
      <w:r w:rsidRPr="0016162A">
        <w:rPr>
          <w:rFonts w:ascii="Trebuchet MS" w:eastAsia="Times New Roman" w:hAnsi="Trebuchet MS" w:cs="Calibri"/>
          <w:bCs/>
          <w:color w:val="000000"/>
          <w:lang w:val="ro-RO"/>
        </w:rPr>
        <w:t>Tipul de sprijin s-a stabilt in baza prevederile Art. 67 (1)(c) din Reg. nr. 1303/2013, sub forma rambursarii costurilor eligibile suportate si platite efectiv.</w:t>
      </w:r>
    </w:p>
    <w:p w:rsidR="0016162A" w:rsidRPr="0016162A" w:rsidRDefault="0016162A" w:rsidP="0016162A">
      <w:pPr>
        <w:spacing w:after="0"/>
        <w:jc w:val="both"/>
        <w:rPr>
          <w:rFonts w:ascii="Trebuchet MS" w:eastAsia="Times New Roman" w:hAnsi="Trebuchet MS" w:cs="Calibri"/>
          <w:bCs/>
          <w:color w:val="000000"/>
          <w:lang w:val="ro-RO"/>
        </w:rPr>
      </w:pPr>
      <w:r w:rsidRPr="0016162A">
        <w:rPr>
          <w:rFonts w:ascii="Trebuchet MS" w:eastAsia="Times New Roman" w:hAnsi="Trebuchet MS" w:cs="Calibri"/>
          <w:bCs/>
          <w:color w:val="000000"/>
          <w:lang w:val="ro-RO"/>
        </w:rPr>
        <w:lastRenderedPageBreak/>
        <w:t>6.Tipurile de actiuni (cheltuieli) eligibile si neeligibile</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Actiuni/cheltuieli eligibile</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Actiunile  eligibile vor respecta prevederile art.69(3) Reg.1303/2013, art. 45 din Reg.1305/2013 , art. 13 din Reg. Delegat (UE) nr. 807/2014, prevederile din PNDR – Cap.8.1, fisa tehnica a Sub-masurii 19.2 si HG 226/2015 si privesc:</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Actiuni de formare profesionala sub forma cursurilor de scurta durata (initiere, specializare, perfectionare), care se desfasoara pe durata a cel putin 5 zile si la care participa cel putin 15 persoane.</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Actiuni de informare, sub forma unor seminarii care privesc ca si tematica, prezentarea unor aspecte privind managementul la nivelul fermei .</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Entitatile care ofera servicii de formare profesionala si informare trebuie sa faca dovada ca dispun de capacitati corespunzatoare prin care se poate asigura logistica desfasurarii acestor actiuni si dispun de personal calificat in domeniile care fac obiectul cursurilor de formare.</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Cheltuielile eligibile privesc costurile legate de organizare acestor actiuni si sunt aferente:</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expertilor care participa la actiunea de formare;</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deplasare, cazare, masa a participantilor si expertilor .</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 xml:space="preserve">asigurarea logisticii necesare desfasurarii lor (inchiriere sala, echipamente, consumabile, audit,demonstratii practice in cadrul vizitelor de lucru, etc).  </w:t>
      </w:r>
    </w:p>
    <w:p w:rsidR="0016162A" w:rsidRPr="0016162A" w:rsidRDefault="0016162A" w:rsidP="0016162A">
      <w:pPr>
        <w:spacing w:after="0"/>
        <w:jc w:val="both"/>
        <w:rPr>
          <w:rFonts w:ascii="Trebuchet MS" w:hAnsi="Trebuchet MS" w:cs="Calibri"/>
          <w:lang w:val="ro-RO"/>
        </w:rPr>
      </w:pPr>
      <w:r w:rsidRPr="0016162A">
        <w:rPr>
          <w:rFonts w:ascii="Trebuchet MS" w:hAnsi="Trebuchet MS" w:cs="Calibri"/>
          <w:lang w:val="ro-RO"/>
        </w:rPr>
        <w:t>Actiuni/cheltuieli neeligibile</w:t>
      </w:r>
    </w:p>
    <w:p w:rsidR="0016162A" w:rsidRPr="0016162A" w:rsidRDefault="0016162A" w:rsidP="0016162A">
      <w:pPr>
        <w:spacing w:after="0"/>
        <w:jc w:val="both"/>
        <w:rPr>
          <w:rFonts w:ascii="Trebuchet MS" w:hAnsi="Trebuchet MS" w:cs="Calibri"/>
          <w:lang w:val="ro-RO"/>
        </w:rPr>
      </w:pPr>
      <w:r w:rsidRPr="0016162A">
        <w:rPr>
          <w:rFonts w:ascii="Trebuchet MS" w:hAnsi="Trebuchet MS" w:cs="Calibri"/>
          <w:lang w:val="ro-RO"/>
        </w:rPr>
        <w:t xml:space="preserve">Conform prevederilor din Cap.8.1 din PNDR, nu sunt eligibile:  </w:t>
      </w:r>
    </w:p>
    <w:p w:rsidR="0016162A" w:rsidRPr="0016162A" w:rsidRDefault="0016162A" w:rsidP="0016162A">
      <w:pPr>
        <w:spacing w:after="0"/>
        <w:jc w:val="both"/>
        <w:rPr>
          <w:rFonts w:ascii="Trebuchet MS" w:eastAsia="Times New Roman" w:hAnsi="Trebuchet MS" w:cs="Calibri"/>
          <w:lang w:val="ro-RO" w:eastAsia="ro-RO"/>
        </w:rPr>
      </w:pPr>
      <w:r w:rsidRPr="0016162A">
        <w:rPr>
          <w:rFonts w:ascii="Trebuchet MS" w:eastAsia="Times New Roman" w:hAnsi="Trebuchet MS" w:cs="Calibri"/>
          <w:lang w:val="ro-RO" w:eastAsia="ro-RO"/>
        </w:rPr>
        <w:t>achiziţionarea de bunuri și echipamente ”second hand”;</w:t>
      </w:r>
    </w:p>
    <w:p w:rsidR="0016162A" w:rsidRPr="0016162A" w:rsidRDefault="0016162A" w:rsidP="0016162A">
      <w:pPr>
        <w:spacing w:after="0"/>
        <w:jc w:val="both"/>
        <w:rPr>
          <w:rFonts w:ascii="Trebuchet MS" w:eastAsia="Times New Roman" w:hAnsi="Trebuchet MS" w:cs="Calibri"/>
          <w:lang w:val="ro-RO" w:eastAsia="ro-RO"/>
        </w:rPr>
      </w:pPr>
      <w:r w:rsidRPr="0016162A">
        <w:rPr>
          <w:rFonts w:ascii="Trebuchet MS" w:eastAsia="Times New Roman" w:hAnsi="Trebuchet MS" w:cs="Calibri"/>
          <w:lang w:val="ro-RO" w:eastAsia="ro-RO"/>
        </w:rPr>
        <w:t xml:space="preserve">cheltuieli efectuate înainte de  semnarea contractului de finanțare a proiectului; </w:t>
      </w:r>
    </w:p>
    <w:p w:rsidR="0016162A" w:rsidRPr="0016162A" w:rsidRDefault="0016162A" w:rsidP="0016162A">
      <w:pPr>
        <w:spacing w:after="0"/>
        <w:jc w:val="both"/>
        <w:rPr>
          <w:rFonts w:ascii="Trebuchet MS" w:eastAsia="Times New Roman" w:hAnsi="Trebuchet MS" w:cs="Calibri"/>
          <w:lang w:val="ro-RO" w:eastAsia="ro-RO"/>
        </w:rPr>
      </w:pPr>
      <w:r w:rsidRPr="0016162A">
        <w:rPr>
          <w:rFonts w:ascii="Trebuchet MS" w:eastAsia="Times New Roman" w:hAnsi="Trebuchet MS" w:cs="Calibri"/>
          <w:lang w:val="ro-RO" w:eastAsia="ro-RO"/>
        </w:rPr>
        <w:t>achiziția mijloacelor de transport pentru uz personal şi pentru transport persoane;</w:t>
      </w:r>
    </w:p>
    <w:p w:rsidR="0016162A" w:rsidRPr="0016162A" w:rsidRDefault="0016162A" w:rsidP="0016162A">
      <w:pPr>
        <w:spacing w:after="0"/>
        <w:jc w:val="both"/>
        <w:rPr>
          <w:rFonts w:ascii="Trebuchet MS" w:eastAsia="Times New Roman" w:hAnsi="Trebuchet MS" w:cs="Calibri"/>
          <w:lang w:val="ro-RO" w:eastAsia="ro-RO"/>
        </w:rPr>
      </w:pPr>
      <w:r w:rsidRPr="0016162A">
        <w:rPr>
          <w:rFonts w:ascii="Trebuchet MS" w:eastAsia="Times New Roman" w:hAnsi="Trebuchet MS" w:cs="Calibri"/>
          <w:lang w:val="ro-RO" w:eastAsia="ro-RO"/>
        </w:rPr>
        <w:t>investițiile ce fac obiectul dublei finanțări care vizează aceleași costuri eligibile;</w:t>
      </w:r>
    </w:p>
    <w:p w:rsidR="0016162A" w:rsidRPr="0016162A" w:rsidRDefault="0016162A" w:rsidP="0016162A">
      <w:pPr>
        <w:spacing w:after="0"/>
        <w:jc w:val="both"/>
        <w:rPr>
          <w:rFonts w:ascii="Trebuchet MS" w:eastAsia="Times New Roman" w:hAnsi="Trebuchet MS" w:cs="Calibri"/>
          <w:lang w:val="ro-RO" w:eastAsia="ro-RO"/>
        </w:rPr>
      </w:pPr>
      <w:r w:rsidRPr="0016162A">
        <w:rPr>
          <w:rFonts w:ascii="Trebuchet MS" w:eastAsia="Times New Roman" w:hAnsi="Trebuchet MS" w:cs="Calibri"/>
          <w:lang w:val="ro-RO" w:eastAsia="ro-RO"/>
        </w:rPr>
        <w:t>cheltuieli în conformitate cu art. 69, alin (3) din R (UE) nr. 1303/2013 și anume:</w:t>
      </w:r>
    </w:p>
    <w:p w:rsidR="0016162A" w:rsidRPr="0016162A" w:rsidRDefault="0016162A" w:rsidP="0016162A">
      <w:pPr>
        <w:spacing w:after="0"/>
        <w:jc w:val="both"/>
        <w:rPr>
          <w:rFonts w:ascii="Trebuchet MS" w:eastAsia="Times New Roman" w:hAnsi="Trebuchet MS" w:cs="Calibri"/>
          <w:lang w:val="ro-RO" w:eastAsia="ro-RO"/>
        </w:rPr>
      </w:pPr>
      <w:r w:rsidRPr="0016162A">
        <w:rPr>
          <w:rFonts w:ascii="Trebuchet MS" w:eastAsia="Times New Roman" w:hAnsi="Trebuchet MS" w:cs="Calibri"/>
          <w:lang w:val="ro-RO" w:eastAsia="ro-RO"/>
        </w:rPr>
        <w:t xml:space="preserve">a.   dobânzi debitoare, cu excepţia celor referitoare la granturi acordate sub forma unei subvenţii pentru dobândă sau a unei subvenţii pentru comisioanele de garantare; </w:t>
      </w:r>
    </w:p>
    <w:p w:rsidR="0016162A" w:rsidRPr="0016162A" w:rsidRDefault="0016162A" w:rsidP="0016162A">
      <w:pPr>
        <w:spacing w:after="0"/>
        <w:jc w:val="both"/>
        <w:rPr>
          <w:rFonts w:ascii="Trebuchet MS" w:eastAsia="Times New Roman" w:hAnsi="Trebuchet MS" w:cs="Calibri"/>
          <w:lang w:val="ro-RO" w:eastAsia="ro-RO"/>
        </w:rPr>
      </w:pPr>
      <w:r w:rsidRPr="0016162A">
        <w:rPr>
          <w:rFonts w:ascii="Trebuchet MS" w:eastAsia="Times New Roman" w:hAnsi="Trebuchet MS" w:cs="Calibri"/>
          <w:lang w:val="ro-RO" w:eastAsia="ro-RO"/>
        </w:rPr>
        <w:t>b.   achiziţionarea de terenuri construite și neconstruite, cu excepția celor prevazute la  art.19 din Reg. 1305/2015;</w:t>
      </w:r>
    </w:p>
    <w:p w:rsidR="0016162A" w:rsidRPr="0016162A" w:rsidRDefault="0016162A" w:rsidP="0016162A">
      <w:pPr>
        <w:spacing w:after="0"/>
        <w:jc w:val="both"/>
        <w:rPr>
          <w:rFonts w:ascii="Trebuchet MS" w:eastAsia="Times New Roman" w:hAnsi="Trebuchet MS" w:cs="Calibri"/>
          <w:lang w:val="ro-RO" w:eastAsia="ro-RO"/>
        </w:rPr>
      </w:pPr>
      <w:r w:rsidRPr="0016162A">
        <w:rPr>
          <w:rFonts w:ascii="Trebuchet MS" w:eastAsia="Times New Roman" w:hAnsi="Trebuchet MS" w:cs="Calibri"/>
          <w:lang w:val="ro-RO" w:eastAsia="ro-RO"/>
        </w:rPr>
        <w:t>c.   taxa pe valoarea adăugată, cu excepţia cazului în care aceasta nu se poate recupera în temeiul legislaţiei naţionale privind TVA-ul sau a prevederilor specifice pentru instrumente financiare;</w:t>
      </w:r>
    </w:p>
    <w:p w:rsidR="0016162A" w:rsidRPr="0016162A" w:rsidRDefault="0016162A" w:rsidP="0016162A">
      <w:pPr>
        <w:spacing w:after="0"/>
        <w:jc w:val="both"/>
        <w:rPr>
          <w:rFonts w:ascii="Trebuchet MS" w:hAnsi="Trebuchet MS" w:cs="Calibri"/>
          <w:lang w:val="ro-RO"/>
        </w:rPr>
      </w:pPr>
      <w:r w:rsidRPr="0016162A">
        <w:rPr>
          <w:rFonts w:ascii="Trebuchet MS" w:eastAsia="Times New Roman" w:hAnsi="Trebuchet MS" w:cs="Calibri"/>
          <w:lang w:val="ro-RO" w:eastAsia="ro-RO"/>
        </w:rPr>
        <w:t>în cazul contractelor de leasing, celelalte costuri legate de contractele de leasing, cum ar fi marja locatorului, costurile de refinanțare a dobânzilor, cheltuielile generale și cheltuielile de asigurare.</w:t>
      </w:r>
      <w:r w:rsidRPr="0016162A">
        <w:rPr>
          <w:rFonts w:ascii="Trebuchet MS" w:hAnsi="Trebuchet MS" w:cs="Calibri"/>
          <w:color w:val="000000"/>
          <w:lang w:val="ro-RO"/>
        </w:rPr>
        <w:t xml:space="preserve"> </w:t>
      </w:r>
    </w:p>
    <w:p w:rsidR="0016162A" w:rsidRPr="0016162A" w:rsidRDefault="0016162A" w:rsidP="0016162A">
      <w:pPr>
        <w:spacing w:after="0"/>
        <w:jc w:val="both"/>
        <w:rPr>
          <w:rFonts w:ascii="Trebuchet MS" w:hAnsi="Trebuchet MS"/>
          <w:lang w:val="ro-RO"/>
        </w:rPr>
      </w:pP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7.  Condiții de eligibilitate specifice</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Solicitantul trebuie să se încadreze in categoria beneficiarilor eligibili ai masurii (entități publice sau private care sunt furnizori de servicii de formare si de actiuni de informare);</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Solicitantul dispune de personal calificat pentru sustinerea acestor cursuri;</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Solicitantul poate sa asigure conditii corespunzatoare (logistica) de desfasuare a cursurilor si actiunilor de informare;</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lastRenderedPageBreak/>
        <w:t>Tematica cursurilor este adecvata nevoilor de instruire din teritoriu si tine cont de nivelul de instruire al cursantilor.</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 xml:space="preserve">La aceste conditii de eligibilitate specifice se adauga conditiile generale de eligibilitate aplicabile tuturor masurilor in conformitate cu regulamentele europene si prevederile din HG 226/2015. </w:t>
      </w:r>
    </w:p>
    <w:p w:rsidR="0016162A" w:rsidRPr="0016162A" w:rsidRDefault="0016162A" w:rsidP="0016162A">
      <w:pPr>
        <w:spacing w:after="0"/>
        <w:jc w:val="both"/>
        <w:rPr>
          <w:rFonts w:ascii="Trebuchet MS" w:hAnsi="Trebuchet MS"/>
          <w:lang w:val="ro-RO" w:eastAsia="ro-RO"/>
        </w:rPr>
      </w:pP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8. Criterii de selectie</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La stabilirea criteriilor de selectie s-au avut in vedere prevederile Art. 49 al R(UE) nr. 1305/2013, urmărind asigurarea  tratamentul egal al solicitanților, o mai bună utilizare a resurselor financiare și direcționarea acestora in conformitate cu prioritățile stabilite in cadrul Strategiei de Dezvoltare Locala.</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Criteriile de selectie stabilite in cadrul acestei masuri, privesc:</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se acorda punctaj solicitantilor care instruiesc un numar mai mare de cursanti;</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se acorda punctaj pentru proiectele care prevad atit actiuni de formare profesionala cit si de informare;</w:t>
      </w:r>
    </w:p>
    <w:p w:rsidR="0016162A" w:rsidRPr="0016162A" w:rsidRDefault="0016162A" w:rsidP="0016162A">
      <w:pPr>
        <w:spacing w:after="0"/>
        <w:jc w:val="both"/>
        <w:rPr>
          <w:rFonts w:ascii="Trebuchet MS" w:hAnsi="Trebuchet MS"/>
          <w:lang w:val="ro-RO" w:eastAsia="ro-RO"/>
        </w:rPr>
      </w:pPr>
      <w:r w:rsidRPr="0016162A">
        <w:rPr>
          <w:rFonts w:ascii="Trebuchet MS" w:hAnsi="Trebuchet MS"/>
          <w:lang w:val="ro-RO" w:eastAsia="ro-RO"/>
        </w:rPr>
        <w:t>se acorda punctaj proiectelor care includ in tematica prezentata si aspecte de protectia mediului;</w:t>
      </w:r>
    </w:p>
    <w:p w:rsidR="0016162A" w:rsidRPr="0016162A" w:rsidRDefault="0016162A" w:rsidP="0016162A">
      <w:pPr>
        <w:numPr>
          <w:ilvl w:val="0"/>
          <w:numId w:val="2"/>
        </w:numPr>
        <w:spacing w:after="0"/>
        <w:jc w:val="both"/>
        <w:rPr>
          <w:rFonts w:ascii="Trebuchet MS" w:hAnsi="Trebuchet MS"/>
          <w:lang w:val="ro-RO" w:eastAsia="ro-RO"/>
        </w:rPr>
      </w:pPr>
      <w:r w:rsidRPr="0016162A">
        <w:rPr>
          <w:rFonts w:ascii="Trebuchet MS" w:hAnsi="Trebuchet MS"/>
          <w:lang w:val="ro-RO" w:eastAsia="ro-RO"/>
        </w:rPr>
        <w:t>se acorda punctaj daca proiectul prezinta informatii legate de certifiarea produselor locale.</w:t>
      </w:r>
    </w:p>
    <w:p w:rsidR="0016162A" w:rsidRPr="0016162A" w:rsidRDefault="0016162A" w:rsidP="0016162A">
      <w:pPr>
        <w:spacing w:after="0"/>
        <w:ind w:left="720"/>
        <w:jc w:val="both"/>
        <w:rPr>
          <w:rFonts w:ascii="Trebuchet MS" w:hAnsi="Trebuchet MS"/>
          <w:lang w:val="ro-RO" w:eastAsia="ro-RO"/>
        </w:rPr>
      </w:pPr>
    </w:p>
    <w:p w:rsidR="0016162A" w:rsidRPr="0016162A" w:rsidRDefault="0016162A" w:rsidP="0016162A">
      <w:pPr>
        <w:spacing w:after="0"/>
        <w:jc w:val="both"/>
        <w:rPr>
          <w:rFonts w:ascii="Trebuchet MS" w:hAnsi="Trebuchet MS"/>
          <w:b/>
          <w:lang w:val="ro-RO"/>
        </w:rPr>
      </w:pPr>
      <w:r w:rsidRPr="0016162A">
        <w:rPr>
          <w:rFonts w:ascii="Trebuchet MS" w:hAnsi="Trebuchet MS"/>
          <w:b/>
          <w:lang w:val="ro-RO"/>
        </w:rPr>
        <w:t>9. Sume (aplicabile) si rata sprijinului</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Valoarea maximă a sprijinului: 24,999.52 euro/</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Intensitatea sprijinului: 100%.</w:t>
      </w:r>
    </w:p>
    <w:p w:rsidR="0016162A" w:rsidRPr="0016162A" w:rsidRDefault="0016162A" w:rsidP="0016162A">
      <w:pPr>
        <w:spacing w:after="0"/>
        <w:jc w:val="both"/>
        <w:rPr>
          <w:rFonts w:ascii="Trebuchet MS" w:hAnsi="Trebuchet MS"/>
          <w:lang w:val="ro-RO"/>
        </w:rPr>
      </w:pPr>
      <w:r w:rsidRPr="0016162A">
        <w:rPr>
          <w:rFonts w:ascii="Trebuchet MS" w:hAnsi="Trebuchet MS"/>
          <w:lang w:val="ro-RO"/>
        </w:rPr>
        <w:t>Se va respecta principiul rezonabilitatii preturilor pentru stabilirea valoarii totale a proiectelor de formare.</w:t>
      </w:r>
    </w:p>
    <w:p w:rsidR="0016162A" w:rsidRPr="0016162A" w:rsidRDefault="0016162A" w:rsidP="0016162A">
      <w:pPr>
        <w:spacing w:after="0"/>
        <w:jc w:val="both"/>
        <w:rPr>
          <w:rFonts w:ascii="Trebuchet MS" w:hAnsi="Trebuchet MS"/>
          <w:b/>
          <w:lang w:val="ro-RO"/>
        </w:rPr>
      </w:pPr>
    </w:p>
    <w:p w:rsidR="0016162A" w:rsidRPr="0016162A" w:rsidRDefault="0016162A" w:rsidP="0016162A">
      <w:pPr>
        <w:spacing w:after="0"/>
        <w:jc w:val="both"/>
        <w:rPr>
          <w:rFonts w:ascii="Trebuchet MS" w:hAnsi="Trebuchet MS"/>
          <w:b/>
          <w:lang w:val="ro-RO"/>
        </w:rPr>
      </w:pPr>
      <w:r w:rsidRPr="0016162A">
        <w:rPr>
          <w:rFonts w:ascii="Trebuchet MS" w:hAnsi="Trebuchet MS"/>
          <w:b/>
          <w:lang w:val="ro-RO"/>
        </w:rPr>
        <w:t>10. Indicatori de monitorizare</w:t>
      </w:r>
    </w:p>
    <w:p w:rsidR="0021393A" w:rsidRPr="0016162A" w:rsidRDefault="0016162A" w:rsidP="0016162A">
      <w:pPr>
        <w:rPr>
          <w:rFonts w:ascii="Trebuchet MS" w:hAnsi="Trebuchet MS"/>
          <w:lang w:val="ro-RO"/>
        </w:rPr>
      </w:pPr>
      <w:r w:rsidRPr="0016162A">
        <w:rPr>
          <w:rFonts w:ascii="Trebuchet MS" w:hAnsi="Trebuchet MS"/>
          <w:lang w:val="ro-RO"/>
        </w:rPr>
        <w:t>Indicatorul de monitorizare pentru masura aferenta Domeniul de interventie 1C, este “Numarul total al participantilor instruiti” – care s-a stabilit la 100 participanti</w:t>
      </w:r>
      <w:bookmarkEnd w:id="0"/>
    </w:p>
    <w:sectPr w:rsidR="0021393A" w:rsidRPr="0016162A" w:rsidSect="0021393A">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DB" w:rsidRDefault="008467DB" w:rsidP="0021393A">
      <w:pPr>
        <w:spacing w:after="0" w:line="240" w:lineRule="auto"/>
      </w:pPr>
      <w:r>
        <w:separator/>
      </w:r>
    </w:p>
  </w:endnote>
  <w:endnote w:type="continuationSeparator" w:id="0">
    <w:p w:rsidR="008467DB" w:rsidRDefault="008467DB" w:rsidP="0021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3A" w:rsidRDefault="0021393A" w:rsidP="0021393A">
    <w:pPr>
      <w:pStyle w:val="Footer"/>
      <w:jc w:val="center"/>
    </w:pPr>
    <w:r w:rsidRPr="009417F2">
      <w:rPr>
        <w:noProof/>
        <w:lang w:val="en-GB" w:eastAsia="en-GB"/>
      </w:rPr>
      <w:drawing>
        <wp:inline distT="0" distB="0" distL="0" distR="0">
          <wp:extent cx="3765550" cy="688340"/>
          <wp:effectExtent l="0" t="0" r="6350" b="0"/>
          <wp:docPr id="4" name="Picture 4"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0" cy="6883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DB" w:rsidRDefault="008467DB" w:rsidP="0021393A">
      <w:pPr>
        <w:spacing w:after="0" w:line="240" w:lineRule="auto"/>
      </w:pPr>
      <w:r>
        <w:separator/>
      </w:r>
    </w:p>
  </w:footnote>
  <w:footnote w:type="continuationSeparator" w:id="0">
    <w:p w:rsidR="008467DB" w:rsidRDefault="008467DB" w:rsidP="0021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3A" w:rsidRPr="003E2035" w:rsidRDefault="0021393A" w:rsidP="0021393A">
    <w:pPr>
      <w:pStyle w:val="Header"/>
      <w:jc w:val="center"/>
      <w:rPr>
        <w:b/>
        <w:color w:val="006666"/>
      </w:rPr>
    </w:pPr>
    <w:r w:rsidRPr="000B2F18">
      <w:rPr>
        <w:b/>
        <w:color w:val="2E74B5"/>
      </w:rPr>
      <w:t>A</w:t>
    </w:r>
    <w:bookmarkStart w:id="3" w:name="_Hlk511119252"/>
    <w:bookmarkStart w:id="4" w:name="_Hlk511119253"/>
    <w:r w:rsidRPr="003E2035">
      <w:rPr>
        <w:b/>
        <w:noProof/>
        <w:color w:val="006666"/>
        <w:lang w:val="en-GB" w:eastAsia="en-GB"/>
      </w:rPr>
      <mc:AlternateContent>
        <mc:Choice Requires="wps">
          <w:drawing>
            <wp:anchor distT="0" distB="0" distL="114300" distR="114300" simplePos="0" relativeHeight="251659264" behindDoc="0" locked="0" layoutInCell="1" allowOverlap="1">
              <wp:simplePos x="0" y="0"/>
              <wp:positionH relativeFrom="column">
                <wp:posOffset>5029835</wp:posOffset>
              </wp:positionH>
              <wp:positionV relativeFrom="paragraph">
                <wp:posOffset>27940</wp:posOffset>
              </wp:positionV>
              <wp:extent cx="992505" cy="1012825"/>
              <wp:effectExtent l="635"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1012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93A" w:rsidRDefault="0021393A" w:rsidP="0021393A">
                          <w:r>
                            <w:fldChar w:fldCharType="begin"/>
                          </w:r>
                          <w:r>
                            <w:instrText xml:space="preserve"> INCLUDEPICTURE "https://galvaleaprutului.ro/wp-content/uploads/2017/06/Leader-300x300.png" \* MERGEFORMATINET </w:instrText>
                          </w:r>
                          <w:r>
                            <w:fldChar w:fldCharType="separate"/>
                          </w:r>
                          <w:r w:rsidR="008467DB">
                            <w:fldChar w:fldCharType="begin"/>
                          </w:r>
                          <w:r w:rsidR="008467DB">
                            <w:instrText xml:space="preserve"> </w:instrText>
                          </w:r>
                          <w:r w:rsidR="008467DB">
                            <w:instrText>INCLUDEPICTURE  "https://galvaleaprutului.ro/wp-c</w:instrText>
                          </w:r>
                          <w:r w:rsidR="008467DB">
                            <w:instrText>ontent/uploads/2017/06/Leader-300x300.png" \* MERGEFORMATINET</w:instrText>
                          </w:r>
                          <w:r w:rsidR="008467DB">
                            <w:instrText xml:space="preserve"> </w:instrText>
                          </w:r>
                          <w:r w:rsidR="008467DB">
                            <w:fldChar w:fldCharType="separate"/>
                          </w:r>
                          <w:r w:rsidR="008467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MADR LEADER" style="width:63.7pt;height:63.7pt">
                                <v:imagedata r:id="rId1" r:href="rId2"/>
                              </v:shape>
                            </w:pict>
                          </w:r>
                          <w:r w:rsidR="008467DB">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96.05pt;margin-top:2.2pt;width:78.15pt;height:79.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" stroked="f">
              <v:textbox style="mso-fit-shape-to-text:t">
                <w:txbxContent>
                  <w:p w:rsidR="0021393A" w:rsidRDefault="0021393A" w:rsidP="0021393A">
                    <w:r>
                      <w:fldChar w:fldCharType="begin"/>
                    </w:r>
                    <w:r>
                      <w:instrText xml:space="preserve"> INCLUDEPICTURE "https://galvaleaprutului.ro/wp-content/uploads/2017/06/Leader-300x300.png" \* MERGEFORMATINET </w:instrText>
                    </w:r>
                    <w:r>
                      <w:fldChar w:fldCharType="separate"/>
                    </w:r>
                    <w:r w:rsidR="008467DB">
                      <w:fldChar w:fldCharType="begin"/>
                    </w:r>
                    <w:r w:rsidR="008467DB">
                      <w:instrText xml:space="preserve"> </w:instrText>
                    </w:r>
                    <w:r w:rsidR="008467DB">
                      <w:instrText>INCLUDEPICTURE  "https://galvaleaprutului.ro/wp-c</w:instrText>
                    </w:r>
                    <w:r w:rsidR="008467DB">
                      <w:instrText>ontent/uploads/2017/06/Leader-300x300.png" \* MERGEFORMATINET</w:instrText>
                    </w:r>
                    <w:r w:rsidR="008467DB">
                      <w:instrText xml:space="preserve"> </w:instrText>
                    </w:r>
                    <w:r w:rsidR="008467DB">
                      <w:fldChar w:fldCharType="separate"/>
                    </w:r>
                    <w:r w:rsidR="008467DB">
                      <w:pict>
                        <v:shape id="_x0000_i1025" type="#_x0000_t75" alt="Image result for MADR LEADER" style="width:63.7pt;height:63.7pt">
                          <v:imagedata r:id="rId1" r:href="rId3"/>
                        </v:shape>
                      </w:pict>
                    </w:r>
                    <w:r w:rsidR="008467DB">
                      <w:fldChar w:fldCharType="end"/>
                    </w:r>
                    <w:r>
                      <w:fldChar w:fldCharType="end"/>
                    </w:r>
                  </w:p>
                </w:txbxContent>
              </v:textbox>
            </v:rect>
          </w:pict>
        </mc:Fallback>
      </mc:AlternateContent>
    </w:r>
    <w:r>
      <w:rPr>
        <w:b/>
        <w:noProof/>
        <w:color w:val="006666"/>
        <w:lang w:val="en-GB" w:eastAsia="en-GB"/>
      </w:rPr>
      <mc:AlternateContent>
        <mc:Choice Requires="wps">
          <w:drawing>
            <wp:anchor distT="0" distB="0" distL="114300" distR="114300" simplePos="0" relativeHeight="251660288" behindDoc="0" locked="0" layoutInCell="1" allowOverlap="1">
              <wp:simplePos x="0" y="0"/>
              <wp:positionH relativeFrom="column">
                <wp:posOffset>-403860</wp:posOffset>
              </wp:positionH>
              <wp:positionV relativeFrom="paragraph">
                <wp:posOffset>-19050</wp:posOffset>
              </wp:positionV>
              <wp:extent cx="1393825" cy="116967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93A" w:rsidRDefault="0021393A" w:rsidP="0021393A">
                          <w:r>
                            <w:rPr>
                              <w:noProof/>
                              <w:lang w:val="en-GB" w:eastAsia="en-GB"/>
                            </w:rPr>
                            <w:drawing>
                              <wp:inline distT="0" distB="0" distL="0" distR="0">
                                <wp:extent cx="1212215" cy="965835"/>
                                <wp:effectExtent l="0" t="0" r="6985" b="5715"/>
                                <wp:docPr id="1" name="Picture 1" descr="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2215" cy="9658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1.8pt;margin-top:-1.5pt;width:109.75pt;height:9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" stroked="f">
              <v:textbox style="mso-fit-shape-to-text:t">
                <w:txbxContent>
                  <w:p w:rsidR="0021393A" w:rsidRDefault="0021393A" w:rsidP="0021393A">
                    <w:r>
                      <w:rPr>
                        <w:noProof/>
                        <w:lang w:val="en-GB" w:eastAsia="en-GB"/>
                      </w:rPr>
                      <w:drawing>
                        <wp:inline distT="0" distB="0" distL="0" distR="0">
                          <wp:extent cx="1212215" cy="965835"/>
                          <wp:effectExtent l="0" t="0" r="6985" b="5715"/>
                          <wp:docPr id="1" name="Picture 1" descr="logo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2215" cy="965835"/>
                                  </a:xfrm>
                                  <a:prstGeom prst="rect">
                                    <a:avLst/>
                                  </a:prstGeom>
                                  <a:noFill/>
                                  <a:ln>
                                    <a:noFill/>
                                  </a:ln>
                                </pic:spPr>
                              </pic:pic>
                            </a:graphicData>
                          </a:graphic>
                        </wp:inline>
                      </w:drawing>
                    </w:r>
                  </w:p>
                </w:txbxContent>
              </v:textbox>
            </v:rect>
          </w:pict>
        </mc:Fallback>
      </mc:AlternateContent>
    </w:r>
    <w:r w:rsidRPr="003E2035">
      <w:rPr>
        <w:b/>
        <w:color w:val="006666"/>
      </w:rPr>
      <w:t>ASOCIATIA GRUPUL DE ACTIUNE LOCALA CRISUL NEGRU</w:t>
    </w:r>
  </w:p>
  <w:p w:rsidR="0021393A" w:rsidRPr="003E2035" w:rsidRDefault="0021393A" w:rsidP="0021393A">
    <w:pPr>
      <w:pStyle w:val="Header"/>
      <w:rPr>
        <w:color w:val="006666"/>
      </w:rPr>
    </w:pPr>
  </w:p>
  <w:p w:rsidR="0021393A" w:rsidRPr="003E2035" w:rsidRDefault="0021393A" w:rsidP="0021393A">
    <w:pPr>
      <w:pStyle w:val="Header"/>
      <w:jc w:val="center"/>
      <w:rPr>
        <w:color w:val="006666"/>
      </w:rPr>
    </w:pPr>
    <w:proofErr w:type="spellStart"/>
    <w:r w:rsidRPr="003E2035">
      <w:rPr>
        <w:color w:val="006666"/>
      </w:rPr>
      <w:t>sediul</w:t>
    </w:r>
    <w:proofErr w:type="spellEnd"/>
    <w:r w:rsidRPr="003E2035">
      <w:rPr>
        <w:color w:val="006666"/>
      </w:rPr>
      <w:t xml:space="preserve">: loc. </w:t>
    </w:r>
    <w:proofErr w:type="spellStart"/>
    <w:r w:rsidRPr="003E2035">
      <w:rPr>
        <w:color w:val="006666"/>
      </w:rPr>
      <w:t>Holod</w:t>
    </w:r>
    <w:proofErr w:type="spellEnd"/>
    <w:r w:rsidRPr="003E2035">
      <w:rPr>
        <w:color w:val="006666"/>
      </w:rPr>
      <w:t xml:space="preserve">, </w:t>
    </w:r>
    <w:proofErr w:type="spellStart"/>
    <w:r w:rsidRPr="003E2035">
      <w:rPr>
        <w:color w:val="006666"/>
      </w:rPr>
      <w:t>nr</w:t>
    </w:r>
    <w:proofErr w:type="spellEnd"/>
    <w:r w:rsidRPr="003E2035">
      <w:rPr>
        <w:color w:val="006666"/>
      </w:rPr>
      <w:t xml:space="preserve"> 228, Jud. Bihor</w:t>
    </w:r>
  </w:p>
  <w:p w:rsidR="0021393A" w:rsidRPr="003E2035" w:rsidRDefault="0021393A" w:rsidP="0021393A">
    <w:pPr>
      <w:pStyle w:val="Header"/>
      <w:jc w:val="center"/>
      <w:rPr>
        <w:color w:val="006666"/>
      </w:rPr>
    </w:pPr>
    <w:r w:rsidRPr="003E2035">
      <w:rPr>
        <w:color w:val="006666"/>
      </w:rPr>
      <w:t xml:space="preserve">e-mail: </w:t>
    </w:r>
    <w:hyperlink r:id="rId5" w:history="1">
      <w:r w:rsidRPr="003E2035">
        <w:rPr>
          <w:color w:val="006666"/>
          <w:u w:val="single"/>
        </w:rPr>
        <w:t>galcrisulnegru@gmail.co</w:t>
      </w:r>
    </w:hyperlink>
    <w:r w:rsidRPr="003E2035">
      <w:rPr>
        <w:color w:val="006666"/>
        <w:u w:val="single"/>
      </w:rPr>
      <w:t>m</w:t>
    </w:r>
  </w:p>
  <w:p w:rsidR="0021393A" w:rsidRDefault="0021393A" w:rsidP="0021393A">
    <w:pPr>
      <w:pStyle w:val="Header"/>
      <w:jc w:val="center"/>
      <w:rPr>
        <w:color w:val="006666"/>
        <w:u w:val="single"/>
      </w:rPr>
    </w:pPr>
    <w:r w:rsidRPr="003E2035">
      <w:rPr>
        <w:color w:val="006666"/>
      </w:rPr>
      <w:t xml:space="preserve">web: </w:t>
    </w:r>
    <w:r w:rsidRPr="003E2035">
      <w:rPr>
        <w:color w:val="006666"/>
        <w:u w:val="single"/>
      </w:rPr>
      <w:t>www.galcrisulnegru.ro</w:t>
    </w:r>
  </w:p>
  <w:bookmarkEnd w:id="3"/>
  <w:bookmarkEnd w:id="4"/>
  <w:p w:rsidR="0021393A" w:rsidRDefault="0021393A" w:rsidP="0021393A">
    <w:pPr>
      <w:pStyle w:val="Header"/>
      <w:tabs>
        <w:tab w:val="left" w:pos="2055"/>
        <w:tab w:val="center" w:pos="72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24117"/>
    <w:multiLevelType w:val="hybridMultilevel"/>
    <w:tmpl w:val="0C6006D4"/>
    <w:lvl w:ilvl="0" w:tplc="1C66EBB4">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3054F"/>
    <w:multiLevelType w:val="hybridMultilevel"/>
    <w:tmpl w:val="4EBCE73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D6"/>
    <w:rsid w:val="00135A4F"/>
    <w:rsid w:val="0016162A"/>
    <w:rsid w:val="001A50D6"/>
    <w:rsid w:val="0021393A"/>
    <w:rsid w:val="00281A13"/>
    <w:rsid w:val="00345889"/>
    <w:rsid w:val="008467DB"/>
    <w:rsid w:val="00A132F6"/>
    <w:rsid w:val="00B9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0B8ADF-25BF-4E8E-B083-1EFF9840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D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A50D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2139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0D6"/>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1A50D6"/>
    <w:pPr>
      <w:ind w:left="720"/>
      <w:contextualSpacing/>
    </w:pPr>
  </w:style>
  <w:style w:type="paragraph" w:styleId="NormalWeb">
    <w:name w:val="Normal (Web)"/>
    <w:basedOn w:val="Normal"/>
    <w:uiPriority w:val="99"/>
    <w:unhideWhenUsed/>
    <w:rsid w:val="001A50D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1A50D6"/>
    <w:pPr>
      <w:spacing w:after="0" w:line="240" w:lineRule="auto"/>
    </w:pPr>
    <w:rPr>
      <w:rFonts w:ascii="Arial" w:eastAsia="Times New Roman" w:hAnsi="Arial" w:cs="Times New Roman"/>
      <w:sz w:val="28"/>
      <w:szCs w:val="28"/>
      <w:lang w:val="ro-RO" w:eastAsia="ro-RO"/>
    </w:rPr>
  </w:style>
  <w:style w:type="character" w:customStyle="1" w:styleId="NoSpacingChar">
    <w:name w:val="No Spacing Char"/>
    <w:link w:val="NoSpacing"/>
    <w:uiPriority w:val="1"/>
    <w:rsid w:val="001A50D6"/>
    <w:rPr>
      <w:rFonts w:ascii="Arial" w:eastAsia="Times New Roman" w:hAnsi="Arial" w:cs="Times New Roman"/>
      <w:sz w:val="28"/>
      <w:szCs w:val="28"/>
      <w:lang w:val="ro-RO" w:eastAsia="ro-RO"/>
    </w:rPr>
  </w:style>
  <w:style w:type="character" w:customStyle="1" w:styleId="Heading2Char">
    <w:name w:val="Heading 2 Char"/>
    <w:basedOn w:val="DefaultParagraphFont"/>
    <w:link w:val="Heading2"/>
    <w:uiPriority w:val="9"/>
    <w:rsid w:val="0021393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1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93A"/>
    <w:rPr>
      <w:rFonts w:ascii="Calibri" w:eastAsia="Calibri" w:hAnsi="Calibri" w:cs="Times New Roman"/>
    </w:rPr>
  </w:style>
  <w:style w:type="paragraph" w:styleId="Footer">
    <w:name w:val="footer"/>
    <w:basedOn w:val="Normal"/>
    <w:link w:val="FooterChar"/>
    <w:uiPriority w:val="99"/>
    <w:unhideWhenUsed/>
    <w:rsid w:val="0021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9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https://galvaleaprutului.ro/wp-content/uploads/2017/06/Leader-300x300.png" TargetMode="External"/><Relationship Id="rId2" Type="http://schemas.openxmlformats.org/officeDocument/2006/relationships/image" Target="https://galvaleaprutului.ro/wp-content/uploads/2017/06/Leader-300x300.png" TargetMode="External"/><Relationship Id="rId1" Type="http://schemas.openxmlformats.org/officeDocument/2006/relationships/image" Target="media/image1.png"/><Relationship Id="rId5" Type="http://schemas.openxmlformats.org/officeDocument/2006/relationships/hyperlink" Target="mailto:galcrisulnegru@gmail.com"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1594</Words>
  <Characters>9088</Characters>
  <Application>Microsoft Office Word</Application>
  <DocSecurity>0</DocSecurity>
  <Lines>75</Lines>
  <Paragraphs>21</Paragraphs>
  <ScaleCrop>false</ScaleCrop>
  <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4</cp:revision>
  <dcterms:created xsi:type="dcterms:W3CDTF">2017-12-12T09:07:00Z</dcterms:created>
  <dcterms:modified xsi:type="dcterms:W3CDTF">2019-04-16T14:30:00Z</dcterms:modified>
</cp:coreProperties>
</file>