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3B21" w14:textId="29A87916" w:rsidR="006635B6" w:rsidRPr="006635B6" w:rsidRDefault="006635B6" w:rsidP="006635B6">
      <w:pPr>
        <w:spacing w:line="240" w:lineRule="auto"/>
        <w:jc w:val="center"/>
        <w:rPr>
          <w:b/>
          <w:sz w:val="30"/>
          <w:szCs w:val="30"/>
          <w:lang w:val="ro-RO"/>
        </w:rPr>
      </w:pPr>
      <w:r w:rsidRPr="006635B6">
        <w:rPr>
          <w:b/>
          <w:sz w:val="30"/>
          <w:szCs w:val="30"/>
          <w:lang w:val="ro-RO"/>
        </w:rPr>
        <w:t>Fișa</w:t>
      </w:r>
      <w:r w:rsidRPr="006635B6">
        <w:rPr>
          <w:b/>
          <w:sz w:val="30"/>
          <w:szCs w:val="30"/>
          <w:lang w:val="ro-RO"/>
        </w:rPr>
        <w:t xml:space="preserve"> Masurii</w:t>
      </w:r>
    </w:p>
    <w:p w14:paraId="450F10FE" w14:textId="4B2EFF95" w:rsidR="006635B6" w:rsidRPr="006635B6" w:rsidRDefault="006635B6" w:rsidP="006635B6">
      <w:pPr>
        <w:pStyle w:val="Heading2"/>
        <w:jc w:val="center"/>
        <w:rPr>
          <w:lang w:val="ro-RO"/>
        </w:rPr>
      </w:pPr>
      <w:bookmarkStart w:id="0" w:name="_Toc23424452"/>
      <w:r w:rsidRPr="00E524AF">
        <w:rPr>
          <w:lang w:val="ro-RO"/>
        </w:rPr>
        <w:t>M7/3A</w:t>
      </w:r>
      <w:bookmarkEnd w:id="0"/>
      <w:r>
        <w:rPr>
          <w:lang w:val="ro-RO"/>
        </w:rPr>
        <w:t xml:space="preserve"> - </w:t>
      </w:r>
      <w:r>
        <w:rPr>
          <w:b w:val="0"/>
          <w:lang w:val="ro-RO"/>
        </w:rPr>
        <w:t>Promovarea formelor asociative</w:t>
      </w:r>
      <w:r w:rsidRPr="008B3F50">
        <w:rPr>
          <w:b w:val="0"/>
          <w:lang w:val="ro-RO"/>
        </w:rPr>
        <w:t>”</w:t>
      </w:r>
    </w:p>
    <w:p w14:paraId="3E356255" w14:textId="77777777" w:rsidR="006635B6" w:rsidRPr="008B3F50" w:rsidRDefault="006635B6" w:rsidP="006635B6">
      <w:pPr>
        <w:spacing w:line="240" w:lineRule="auto"/>
        <w:rPr>
          <w:b/>
          <w:lang w:val="ro-RO"/>
        </w:rPr>
      </w:pPr>
    </w:p>
    <w:p w14:paraId="210A294D" w14:textId="77777777" w:rsidR="006635B6" w:rsidRDefault="006635B6" w:rsidP="006635B6">
      <w:pPr>
        <w:spacing w:line="240" w:lineRule="auto"/>
        <w:rPr>
          <w:b/>
          <w:lang w:val="ro-RO"/>
        </w:rPr>
      </w:pPr>
      <w:r w:rsidRPr="008B3F50">
        <w:rPr>
          <w:b/>
          <w:lang w:val="ro-RO"/>
        </w:rPr>
        <w:t>Tipul masurii – servicii</w:t>
      </w:r>
    </w:p>
    <w:p w14:paraId="1DDF4152" w14:textId="77777777" w:rsidR="006635B6" w:rsidRDefault="006635B6" w:rsidP="006635B6">
      <w:pPr>
        <w:spacing w:line="240" w:lineRule="auto"/>
        <w:ind w:firstLine="360"/>
        <w:rPr>
          <w:rFonts w:cs="Arial"/>
          <w:lang w:val="ro-RO"/>
        </w:rPr>
      </w:pPr>
    </w:p>
    <w:p w14:paraId="18D9B22B" w14:textId="77777777" w:rsidR="006635B6" w:rsidRDefault="006635B6" w:rsidP="006635B6">
      <w:pPr>
        <w:pStyle w:val="ListParagraph"/>
        <w:numPr>
          <w:ilvl w:val="0"/>
          <w:numId w:val="3"/>
        </w:numPr>
        <w:rPr>
          <w:b/>
          <w:color w:val="000000"/>
          <w:lang w:val="ro-RO"/>
        </w:rPr>
      </w:pPr>
      <w:r w:rsidRPr="004B77FD">
        <w:rPr>
          <w:b/>
          <w:color w:val="000000"/>
          <w:lang w:val="ro-RO"/>
        </w:rPr>
        <w:t>Descrierea generală a măsurii, inclusiv a logicii de interventie a acesteia si a contribuției la prioritatile strategiei, la domeniile de interventie, la obiectivele transversale si a complementaritatii cu alte masuri din SDL.</w:t>
      </w:r>
    </w:p>
    <w:p w14:paraId="7294EB1E" w14:textId="77777777" w:rsidR="006635B6" w:rsidRDefault="006635B6" w:rsidP="006635B6">
      <w:pPr>
        <w:spacing w:line="240" w:lineRule="auto"/>
        <w:ind w:left="360"/>
        <w:rPr>
          <w:rFonts w:cs="Arial"/>
          <w:lang w:val="ro-RO"/>
        </w:rPr>
      </w:pPr>
    </w:p>
    <w:p w14:paraId="560CD363" w14:textId="77777777" w:rsidR="006635B6" w:rsidRPr="008B3F50" w:rsidRDefault="006635B6" w:rsidP="006635B6">
      <w:pPr>
        <w:spacing w:line="240" w:lineRule="auto"/>
        <w:ind w:left="360"/>
        <w:rPr>
          <w:lang w:val="ro-RO"/>
        </w:rPr>
      </w:pPr>
      <w:r w:rsidRPr="004B77FD">
        <w:rPr>
          <w:rFonts w:cs="Arial"/>
          <w:lang w:val="ro-RO"/>
        </w:rPr>
        <w:t>Din analiza SWOT, realizata la nivelul teritoriului GAL, au fost identificate nevoi pentru dezvoltarea sectorului agricol</w:t>
      </w:r>
      <w:r>
        <w:rPr>
          <w:rFonts w:cs="Arial"/>
          <w:lang w:val="ro-RO"/>
        </w:rPr>
        <w:t xml:space="preserve">, respectiv nevoia dezvoltării unor lanțuri scurte de </w:t>
      </w:r>
      <w:r w:rsidRPr="008B3F50">
        <w:rPr>
          <w:lang w:val="ro-RO"/>
        </w:rPr>
        <w:t>comercializare, forme asociative care sa faciliteze desfacerea, gasirea unor solutii gen „asigurarea cosului de livrare permanent” catre consumatori sau, oferirea unor „abonamente” pentru livrarea marfurilor</w:t>
      </w:r>
      <w:r>
        <w:rPr>
          <w:lang w:val="ro-RO"/>
        </w:rPr>
        <w:t>.</w:t>
      </w:r>
      <w:r w:rsidRPr="008B3F50">
        <w:rPr>
          <w:lang w:val="ro-RO"/>
        </w:rPr>
        <w:t xml:space="preserve"> </w:t>
      </w:r>
    </w:p>
    <w:p w14:paraId="45164F9C" w14:textId="77777777" w:rsidR="006635B6" w:rsidRDefault="006635B6" w:rsidP="006635B6">
      <w:pPr>
        <w:spacing w:line="240" w:lineRule="auto"/>
        <w:ind w:left="360"/>
        <w:rPr>
          <w:rFonts w:cs="Arial"/>
          <w:lang w:val="ro-RO"/>
        </w:rPr>
      </w:pPr>
      <w:r w:rsidRPr="00E524AF">
        <w:rPr>
          <w:rFonts w:cs="Arial"/>
          <w:lang w:val="ro-RO"/>
        </w:rPr>
        <w:t>Obiectivul specific care se desprinde din analiza SWOT intreprinsa privind aceste aspecte il reprezinta „sustinerea sectorului agricol pentru a realiza lanturi scurte agro-alimentare de comercial</w:t>
      </w:r>
      <w:r>
        <w:rPr>
          <w:rFonts w:cs="Arial"/>
          <w:lang w:val="ro-RO"/>
        </w:rPr>
        <w:t>i</w:t>
      </w:r>
      <w:r w:rsidRPr="00E524AF">
        <w:rPr>
          <w:rFonts w:cs="Arial"/>
          <w:lang w:val="ro-RO"/>
        </w:rPr>
        <w:t>zare si gasirea unor forme asociative pentru valorificarea produselor”.</w:t>
      </w:r>
    </w:p>
    <w:p w14:paraId="03F8FAED" w14:textId="77777777" w:rsidR="006635B6" w:rsidRPr="00E524AF" w:rsidRDefault="006635B6" w:rsidP="006635B6">
      <w:pPr>
        <w:spacing w:line="240" w:lineRule="auto"/>
        <w:ind w:left="360"/>
        <w:rPr>
          <w:rFonts w:cs="Arial"/>
          <w:lang w:val="ro-RO"/>
        </w:rPr>
      </w:pPr>
      <w:r w:rsidRPr="00E524AF">
        <w:rPr>
          <w:rFonts w:cs="Arial"/>
          <w:lang w:val="ro-RO"/>
        </w:rPr>
        <w:t>Fermierii locali trebuie sa fie orientati catre obtinerea de produse traditionale din resurse primare proprii, ce pot fi valorificate la nivelul oraselor din apropiere, prin amenajarea de spatii de desfacere, sau prin asocierea mai multor producatori intr-o forma asociativa care sa le faciliteze distributia.</w:t>
      </w:r>
    </w:p>
    <w:p w14:paraId="01BF151E" w14:textId="77777777" w:rsidR="006635B6" w:rsidRDefault="006635B6" w:rsidP="006635B6">
      <w:pPr>
        <w:spacing w:line="240" w:lineRule="auto"/>
        <w:ind w:left="360"/>
        <w:rPr>
          <w:rFonts w:cs="Arial"/>
          <w:lang w:val="ro-RO"/>
        </w:rPr>
      </w:pPr>
      <w:r w:rsidRPr="00E524AF">
        <w:rPr>
          <w:rFonts w:cs="Arial"/>
          <w:lang w:val="ro-RO"/>
        </w:rPr>
        <w:t>Lantul scurt de comercializare, forme asociative care sa faciliteze desfacerea, gasirea unor solutii gen „asigurarea cosului de livrare permanant” catre consumatori, sau oferirea unor „abonamente” pentru livrarea marfurilor constituie actiuni „inovative”, prin gasirea unor solutii noi la probleme existente.</w:t>
      </w:r>
    </w:p>
    <w:p w14:paraId="1A99CA29" w14:textId="77777777" w:rsidR="006635B6" w:rsidRDefault="006635B6" w:rsidP="006635B6">
      <w:pPr>
        <w:spacing w:line="240" w:lineRule="auto"/>
        <w:ind w:left="360"/>
        <w:rPr>
          <w:rFonts w:cs="Arial"/>
          <w:lang w:val="ro-RO"/>
        </w:rPr>
      </w:pPr>
    </w:p>
    <w:p w14:paraId="18ED4B75" w14:textId="77777777" w:rsidR="006635B6" w:rsidRPr="005B1569" w:rsidRDefault="006635B6" w:rsidP="006635B6">
      <w:pPr>
        <w:spacing w:line="240" w:lineRule="auto"/>
        <w:ind w:left="360"/>
        <w:rPr>
          <w:rFonts w:cs="Arial"/>
          <w:lang w:val="ro-RO"/>
        </w:rPr>
      </w:pPr>
      <w:r w:rsidRPr="005B1569">
        <w:rPr>
          <w:rFonts w:cs="Arial"/>
          <w:b/>
          <w:lang w:val="ro-RO"/>
        </w:rPr>
        <w:t>Obiectiv(e) de dezvoltare rurală al Reg. (UE) 1305/2013, art.4</w:t>
      </w:r>
      <w:r>
        <w:rPr>
          <w:rFonts w:cs="Arial"/>
          <w:lang w:val="ro-RO"/>
        </w:rPr>
        <w:t xml:space="preserve">: </w:t>
      </w:r>
      <w:r w:rsidRPr="005B1569">
        <w:rPr>
          <w:rFonts w:cs="Arial"/>
          <w:lang w:val="ro-RO"/>
        </w:rPr>
        <w:t>a) favorizarea competitivității agriculturii</w:t>
      </w:r>
      <w:r>
        <w:rPr>
          <w:rFonts w:cs="Arial"/>
          <w:lang w:val="ro-RO"/>
        </w:rPr>
        <w:t xml:space="preserve"> </w:t>
      </w:r>
      <w:r w:rsidRPr="005B1569">
        <w:rPr>
          <w:rFonts w:cs="Arial"/>
          <w:lang w:val="ro-RO"/>
        </w:rPr>
        <w:t>Obiectiv(e) specific(e) local(e) al(e) măsurii</w:t>
      </w:r>
      <w:r w:rsidRPr="005B1569">
        <w:rPr>
          <w:rFonts w:cs="Arial"/>
          <w:lang w:val="ro-RO"/>
        </w:rPr>
        <w:tab/>
        <w:t>Dezvoltarea de structuri asociative ale fermierilor cu funcții de marketing, acces la capital și la inovație.</w:t>
      </w:r>
    </w:p>
    <w:p w14:paraId="627499B3" w14:textId="77777777" w:rsidR="006635B6" w:rsidRPr="005B1569" w:rsidRDefault="006635B6" w:rsidP="006635B6">
      <w:pPr>
        <w:spacing w:line="240" w:lineRule="auto"/>
        <w:ind w:left="360"/>
        <w:rPr>
          <w:rFonts w:cs="Arial"/>
          <w:lang w:val="ro-RO"/>
        </w:rPr>
      </w:pPr>
      <w:r w:rsidRPr="005B1569">
        <w:rPr>
          <w:rFonts w:cs="Arial"/>
          <w:b/>
          <w:lang w:val="ro-RO"/>
        </w:rPr>
        <w:t>Contribuție la prioritatea/prioritățile prevăzute la art.5, Reg.(UE) nr.1305/2013:</w:t>
      </w:r>
      <w:r>
        <w:rPr>
          <w:rFonts w:cs="Arial"/>
          <w:lang w:val="ro-RO"/>
        </w:rPr>
        <w:t xml:space="preserve"> </w:t>
      </w:r>
      <w:r w:rsidRPr="005B1569">
        <w:rPr>
          <w:rFonts w:cs="Arial"/>
          <w:lang w:val="ro-RO"/>
        </w:rPr>
        <w:t>Măsura contribuie la prioritatea/prioritățile prevăzute la art. 5, Reg. (UE) nr. 1305/2013:</w:t>
      </w:r>
      <w:r>
        <w:rPr>
          <w:rFonts w:cs="Arial"/>
          <w:lang w:val="ro-RO"/>
        </w:rPr>
        <w:t xml:space="preserve"> </w:t>
      </w:r>
      <w:r w:rsidRPr="005B1569">
        <w:rPr>
          <w:rFonts w:cs="Arial"/>
          <w:lang w:val="ro-RO"/>
        </w:rPr>
        <w:t xml:space="preserve">Prioritatea 3 – Promovarea organizării lanțului alimentar inclusiv procesarea și comercializarea produselor agricole, a bunăstării animalelor și a gestionării riscurilor în agricultură. </w:t>
      </w:r>
    </w:p>
    <w:p w14:paraId="2E394BD5" w14:textId="77777777" w:rsidR="006635B6" w:rsidRDefault="006635B6" w:rsidP="006635B6">
      <w:pPr>
        <w:spacing w:line="240" w:lineRule="auto"/>
        <w:ind w:left="360"/>
        <w:rPr>
          <w:rFonts w:cs="Arial"/>
          <w:lang w:val="ro-RO"/>
        </w:rPr>
      </w:pPr>
      <w:r w:rsidRPr="005B1569">
        <w:rPr>
          <w:rFonts w:cs="Arial"/>
          <w:b/>
          <w:lang w:val="ro-RO"/>
        </w:rPr>
        <w:t>Măsura corespunde obiectivelor Art</w:t>
      </w:r>
      <w:r>
        <w:rPr>
          <w:rFonts w:cs="Arial"/>
          <w:b/>
          <w:lang w:val="ro-RO"/>
        </w:rPr>
        <w:t>. 35. din Reg.(UE) nr.1305/2013</w:t>
      </w:r>
    </w:p>
    <w:p w14:paraId="671F021E" w14:textId="77777777" w:rsidR="006635B6" w:rsidRDefault="006635B6" w:rsidP="006635B6">
      <w:pPr>
        <w:spacing w:line="240" w:lineRule="auto"/>
        <w:ind w:left="360"/>
        <w:rPr>
          <w:rFonts w:cs="Arial"/>
          <w:lang w:val="ro-RO"/>
        </w:rPr>
      </w:pPr>
      <w:r w:rsidRPr="005B1569">
        <w:rPr>
          <w:rFonts w:cs="Arial"/>
          <w:b/>
          <w:lang w:val="ro-RO"/>
        </w:rPr>
        <w:t>Contribuț</w:t>
      </w:r>
      <w:r>
        <w:rPr>
          <w:rFonts w:cs="Arial"/>
          <w:b/>
          <w:lang w:val="ro-RO"/>
        </w:rPr>
        <w:t xml:space="preserve">ia la domeniile de intervenție </w:t>
      </w:r>
      <w:r w:rsidRPr="005B1569">
        <w:rPr>
          <w:rFonts w:cs="Arial"/>
          <w:b/>
          <w:lang w:val="ro-RO"/>
        </w:rPr>
        <w:t>3A</w:t>
      </w:r>
      <w:r w:rsidRPr="005B1569">
        <w:rPr>
          <w:rFonts w:cs="Arial"/>
          <w:lang w:val="ro-RO"/>
        </w:rPr>
        <w:t>:</w:t>
      </w:r>
      <w:r>
        <w:rPr>
          <w:rFonts w:cs="Arial"/>
          <w:lang w:val="ro-RO"/>
        </w:rPr>
        <w:t xml:space="preserve"> </w:t>
      </w:r>
      <w:r w:rsidRPr="005B1569">
        <w:rPr>
          <w:rFonts w:cs="Arial"/>
          <w:lang w:val="ro-RO"/>
        </w:rPr>
        <w:t xml:space="preserve">Îmbunătățirea competitivității producătorilor primari printr-o mai bună integrare a acestora în lanțul agroalimentar prin intermediul schemelor de calitate, al creșterii valorilor adăugate a produselor agricole, al promovării pe piețele locale și în cadrul circuitelor scurte de aprovizionare, al grupurilor și organizațiilor de producători și al organizațiilor interprofesionale. </w:t>
      </w:r>
    </w:p>
    <w:p w14:paraId="2BA12DA3" w14:textId="77777777" w:rsidR="006635B6" w:rsidRDefault="006635B6" w:rsidP="006635B6">
      <w:pPr>
        <w:spacing w:line="240" w:lineRule="auto"/>
        <w:ind w:left="360"/>
        <w:rPr>
          <w:rFonts w:cs="Arial"/>
          <w:lang w:val="ro-RO"/>
        </w:rPr>
      </w:pPr>
      <w:r w:rsidRPr="005B1569">
        <w:rPr>
          <w:rFonts w:cs="Arial"/>
          <w:b/>
          <w:lang w:val="ro-RO"/>
        </w:rPr>
        <w:lastRenderedPageBreak/>
        <w:t>Contribuția la obiectivele transversale ale Reg.(UE) 1305/2013:</w:t>
      </w:r>
      <w:r>
        <w:rPr>
          <w:rFonts w:cs="Arial"/>
          <w:lang w:val="ro-RO"/>
        </w:rPr>
        <w:t xml:space="preserve"> </w:t>
      </w:r>
      <w:r w:rsidRPr="005B1569">
        <w:rPr>
          <w:rFonts w:cs="Arial"/>
          <w:lang w:val="ro-RO"/>
        </w:rPr>
        <w:t>Măsura contribuie la inovare, prin propunerea unei forme de organizare inovative pentru fermierii mici din teritoriu astfel asigurând posibilitate de dezvoltare ș</w:t>
      </w:r>
      <w:r>
        <w:rPr>
          <w:rFonts w:cs="Arial"/>
          <w:lang w:val="ro-RO"/>
        </w:rPr>
        <w:t>i intrare pe piață a acestora.</w:t>
      </w:r>
    </w:p>
    <w:p w14:paraId="61609FE7" w14:textId="77777777" w:rsidR="006635B6" w:rsidRDefault="006635B6" w:rsidP="006635B6">
      <w:pPr>
        <w:spacing w:line="240" w:lineRule="auto"/>
        <w:ind w:left="360"/>
        <w:rPr>
          <w:rFonts w:cs="Arial"/>
          <w:lang w:val="ro-RO"/>
        </w:rPr>
      </w:pPr>
      <w:r w:rsidRPr="00C65BA0">
        <w:rPr>
          <w:rFonts w:cs="Arial"/>
          <w:lang w:val="ro-RO"/>
        </w:rPr>
        <w:t>Aceasta masura este sinergica cu Masura</w:t>
      </w:r>
      <w:r w:rsidRPr="00C65BA0">
        <w:t xml:space="preserve"> </w:t>
      </w:r>
      <w:r w:rsidRPr="00C65BA0">
        <w:rPr>
          <w:rFonts w:cs="Arial"/>
          <w:lang w:val="ro-RO"/>
        </w:rPr>
        <w:t>M3/3A Accesul la schema de calitate privind certificarea produselor</w:t>
      </w:r>
      <w:r>
        <w:rPr>
          <w:rFonts w:cs="Arial"/>
          <w:lang w:val="ro-RO"/>
        </w:rPr>
        <w:t>.</w:t>
      </w:r>
    </w:p>
    <w:p w14:paraId="52E34B04" w14:textId="77777777" w:rsidR="006635B6" w:rsidRPr="00C65BA0" w:rsidRDefault="006635B6" w:rsidP="006635B6">
      <w:pPr>
        <w:spacing w:line="240" w:lineRule="auto"/>
        <w:ind w:left="360"/>
        <w:rPr>
          <w:rFonts w:cs="Arial"/>
          <w:lang w:val="ro-RO"/>
        </w:rPr>
      </w:pPr>
    </w:p>
    <w:p w14:paraId="74C1BA15" w14:textId="77777777" w:rsidR="006635B6" w:rsidRPr="00E524AF" w:rsidRDefault="006635B6" w:rsidP="006635B6">
      <w:pPr>
        <w:pStyle w:val="ListParagraph"/>
        <w:numPr>
          <w:ilvl w:val="0"/>
          <w:numId w:val="3"/>
        </w:numPr>
        <w:rPr>
          <w:b/>
          <w:color w:val="000000"/>
          <w:lang w:val="ro-RO"/>
        </w:rPr>
      </w:pPr>
      <w:r w:rsidRPr="00E524AF">
        <w:rPr>
          <w:b/>
          <w:color w:val="000000"/>
          <w:lang w:val="ro-RO"/>
        </w:rPr>
        <w:t>Valoarea adăugată a măsurii</w:t>
      </w:r>
    </w:p>
    <w:p w14:paraId="470CAB78" w14:textId="77777777" w:rsidR="006635B6" w:rsidRPr="00C65BA0" w:rsidRDefault="006635B6" w:rsidP="006635B6">
      <w:pPr>
        <w:numPr>
          <w:ilvl w:val="1"/>
          <w:numId w:val="1"/>
        </w:numPr>
        <w:spacing w:line="240" w:lineRule="auto"/>
        <w:rPr>
          <w:rFonts w:cs="Arial"/>
          <w:lang w:val="ro-RO"/>
        </w:rPr>
      </w:pPr>
      <w:r w:rsidRPr="00C65BA0">
        <w:rPr>
          <w:rFonts w:cs="Arial"/>
          <w:lang w:val="ro-RO"/>
        </w:rPr>
        <w:t xml:space="preserve">Dezvoltarea unui model sustenabil de integrare a produselor locale pe piață. </w:t>
      </w:r>
    </w:p>
    <w:p w14:paraId="4C1AED8A" w14:textId="77777777" w:rsidR="006635B6" w:rsidRPr="00C65BA0" w:rsidRDefault="006635B6" w:rsidP="006635B6">
      <w:pPr>
        <w:numPr>
          <w:ilvl w:val="1"/>
          <w:numId w:val="1"/>
        </w:numPr>
        <w:spacing w:line="240" w:lineRule="auto"/>
        <w:rPr>
          <w:rFonts w:cs="Arial"/>
          <w:lang w:val="ro-RO"/>
        </w:rPr>
      </w:pPr>
      <w:r w:rsidRPr="00C65BA0">
        <w:rPr>
          <w:rFonts w:cs="Arial"/>
          <w:lang w:val="ro-RO"/>
        </w:rPr>
        <w:t>Efectul asupra opțiunilor oferite consumatorilor (diversificarea ofertei de produse românești, proaspete și sănătoase).</w:t>
      </w:r>
    </w:p>
    <w:p w14:paraId="4017A3E5" w14:textId="77777777" w:rsidR="006635B6" w:rsidRDefault="006635B6" w:rsidP="006635B6">
      <w:pPr>
        <w:numPr>
          <w:ilvl w:val="1"/>
          <w:numId w:val="1"/>
        </w:numPr>
        <w:spacing w:line="240" w:lineRule="auto"/>
        <w:rPr>
          <w:rFonts w:cs="Arial"/>
          <w:lang w:val="ro-RO"/>
        </w:rPr>
      </w:pPr>
      <w:r w:rsidRPr="00C65BA0">
        <w:rPr>
          <w:rFonts w:cs="Arial"/>
          <w:lang w:val="ro-RO"/>
        </w:rPr>
        <w:t xml:space="preserve">Creșterea coeziunii la nivelul </w:t>
      </w:r>
      <w:r>
        <w:rPr>
          <w:rFonts w:cs="Arial"/>
          <w:lang w:val="ro-RO"/>
        </w:rPr>
        <w:t>GAL-ului</w:t>
      </w:r>
      <w:r w:rsidRPr="00C65BA0">
        <w:rPr>
          <w:rFonts w:cs="Arial"/>
          <w:lang w:val="ro-RO"/>
        </w:rPr>
        <w:t>, concretizată prin relații profesionale între fermieri, relații comerciale și transfer de inovație.</w:t>
      </w:r>
    </w:p>
    <w:p w14:paraId="65F75D15" w14:textId="77777777" w:rsidR="006635B6" w:rsidRPr="00E524AF" w:rsidRDefault="006635B6" w:rsidP="006635B6">
      <w:pPr>
        <w:numPr>
          <w:ilvl w:val="1"/>
          <w:numId w:val="1"/>
        </w:numPr>
        <w:spacing w:line="240" w:lineRule="auto"/>
        <w:rPr>
          <w:rFonts w:cs="Arial"/>
          <w:lang w:val="ro-RO"/>
        </w:rPr>
      </w:pPr>
      <w:r w:rsidRPr="00E524AF">
        <w:rPr>
          <w:rFonts w:cs="Arial"/>
          <w:lang w:val="ro-RO"/>
        </w:rPr>
        <w:t>Stimularea asocierii și a investițiilor care deservesc formele asociative ale fermierilor pentru comercializarea produselor;</w:t>
      </w:r>
    </w:p>
    <w:p w14:paraId="5DBAE71D" w14:textId="77777777" w:rsidR="006635B6" w:rsidRDefault="006635B6" w:rsidP="006635B6">
      <w:pPr>
        <w:spacing w:line="240" w:lineRule="auto"/>
        <w:ind w:left="360"/>
        <w:rPr>
          <w:rFonts w:cs="Arial"/>
          <w:lang w:val="ro-RO"/>
        </w:rPr>
      </w:pPr>
    </w:p>
    <w:p w14:paraId="6641205F" w14:textId="77777777" w:rsidR="006635B6" w:rsidRPr="0079337C" w:rsidRDefault="006635B6" w:rsidP="006635B6">
      <w:pPr>
        <w:pStyle w:val="ListParagraph"/>
        <w:numPr>
          <w:ilvl w:val="0"/>
          <w:numId w:val="3"/>
        </w:numPr>
        <w:rPr>
          <w:rFonts w:cs="Arial"/>
          <w:b/>
          <w:lang w:val="ro-RO"/>
        </w:rPr>
      </w:pPr>
      <w:r w:rsidRPr="00E524AF">
        <w:rPr>
          <w:b/>
          <w:color w:val="000000"/>
          <w:lang w:val="ro-RO"/>
        </w:rPr>
        <w:t>Trimiteri</w:t>
      </w:r>
      <w:r w:rsidRPr="0079337C">
        <w:rPr>
          <w:rFonts w:cs="Arial"/>
          <w:b/>
          <w:lang w:val="ro-RO"/>
        </w:rPr>
        <w:t xml:space="preserve"> la alte acte legislative</w:t>
      </w:r>
    </w:p>
    <w:p w14:paraId="6B83B85F" w14:textId="77777777" w:rsidR="006635B6" w:rsidRPr="0079337C" w:rsidRDefault="006635B6" w:rsidP="006635B6">
      <w:pPr>
        <w:numPr>
          <w:ilvl w:val="1"/>
          <w:numId w:val="1"/>
        </w:numPr>
        <w:spacing w:line="240" w:lineRule="auto"/>
        <w:rPr>
          <w:rFonts w:cs="Arial"/>
          <w:lang w:val="ro-RO"/>
        </w:rPr>
      </w:pPr>
      <w:r w:rsidRPr="0079337C">
        <w:rPr>
          <w:rFonts w:cs="Arial"/>
          <w:lang w:val="ro-RO"/>
        </w:rPr>
        <w:t>Reg. (UE) 1303/2013, Reg.(UE) 1305/2013, Reg.(UE) nr.807/2014.</w:t>
      </w:r>
    </w:p>
    <w:p w14:paraId="374508E0" w14:textId="77777777" w:rsidR="006635B6" w:rsidRPr="0079337C" w:rsidRDefault="006635B6" w:rsidP="006635B6">
      <w:pPr>
        <w:numPr>
          <w:ilvl w:val="1"/>
          <w:numId w:val="1"/>
        </w:numPr>
        <w:spacing w:line="240" w:lineRule="auto"/>
        <w:rPr>
          <w:rFonts w:cs="Arial"/>
          <w:lang w:val="ro-RO"/>
        </w:rPr>
      </w:pPr>
      <w:r w:rsidRPr="0079337C">
        <w:rPr>
          <w:rFonts w:cs="Arial"/>
          <w:lang w:val="ro-RO"/>
        </w:rPr>
        <w:t>Legea cooperației agricole nr.566/ 2004, cu modificările și completările ulterioare.</w:t>
      </w:r>
    </w:p>
    <w:p w14:paraId="6E7256A9" w14:textId="77777777" w:rsidR="006635B6" w:rsidRPr="0079337C" w:rsidRDefault="006635B6" w:rsidP="006635B6">
      <w:pPr>
        <w:numPr>
          <w:ilvl w:val="1"/>
          <w:numId w:val="1"/>
        </w:numPr>
        <w:spacing w:line="240" w:lineRule="auto"/>
        <w:rPr>
          <w:rFonts w:cs="Arial"/>
          <w:lang w:val="ro-RO"/>
        </w:rPr>
      </w:pPr>
      <w:r w:rsidRPr="0079337C">
        <w:rPr>
          <w:rFonts w:cs="Arial"/>
          <w:lang w:val="ro-RO"/>
        </w:rPr>
        <w:t>Ordonanța nr.37/2005 privind recunoașterea si funcționarea grupurilor si organizațiilor de producători pentru comercializarea produselor agricole si silvice cu completările si modificările ulterioare.</w:t>
      </w:r>
    </w:p>
    <w:p w14:paraId="337370B4" w14:textId="77777777" w:rsidR="006635B6" w:rsidRPr="0079337C" w:rsidRDefault="006635B6" w:rsidP="006635B6">
      <w:pPr>
        <w:numPr>
          <w:ilvl w:val="1"/>
          <w:numId w:val="1"/>
        </w:numPr>
        <w:spacing w:line="240" w:lineRule="auto"/>
        <w:rPr>
          <w:rFonts w:cs="Arial"/>
          <w:lang w:val="ro-RO"/>
        </w:rPr>
      </w:pPr>
      <w:r w:rsidRPr="0079337C">
        <w:rPr>
          <w:rFonts w:cs="Arial"/>
          <w:lang w:val="ro-RO"/>
        </w:rPr>
        <w:t>(CE) nr.1435/2003 al Consiliului din 22 iulie 2003 privind statutul societății cooperative europene (SCE).</w:t>
      </w:r>
    </w:p>
    <w:p w14:paraId="6EB78507" w14:textId="77777777" w:rsidR="006635B6" w:rsidRDefault="006635B6" w:rsidP="006635B6">
      <w:pPr>
        <w:spacing w:line="240" w:lineRule="auto"/>
        <w:ind w:left="360"/>
        <w:rPr>
          <w:rFonts w:cs="Arial"/>
          <w:lang w:val="ro-RO"/>
        </w:rPr>
      </w:pPr>
    </w:p>
    <w:p w14:paraId="11773D01" w14:textId="77777777" w:rsidR="006635B6" w:rsidRDefault="006635B6" w:rsidP="006635B6">
      <w:pPr>
        <w:pStyle w:val="ListParagraph"/>
        <w:numPr>
          <w:ilvl w:val="0"/>
          <w:numId w:val="3"/>
        </w:numPr>
        <w:rPr>
          <w:rFonts w:cs="Arial"/>
          <w:b/>
          <w:lang w:val="ro-RO"/>
        </w:rPr>
      </w:pPr>
      <w:r w:rsidRPr="00E524AF">
        <w:rPr>
          <w:b/>
          <w:color w:val="000000"/>
          <w:lang w:val="ro-RO"/>
        </w:rPr>
        <w:t>Beneficiari</w:t>
      </w:r>
      <w:r w:rsidRPr="0079337C">
        <w:rPr>
          <w:rFonts w:cs="Arial"/>
          <w:b/>
          <w:lang w:val="ro-RO"/>
        </w:rPr>
        <w:t xml:space="preserve"> direcți/indirecți (grup țintă)</w:t>
      </w:r>
    </w:p>
    <w:p w14:paraId="266C12BA" w14:textId="77777777" w:rsidR="006635B6" w:rsidRPr="0079337C" w:rsidRDefault="006635B6" w:rsidP="006635B6">
      <w:pPr>
        <w:pStyle w:val="ListParagraph"/>
        <w:ind w:left="360"/>
        <w:rPr>
          <w:rFonts w:cs="Arial"/>
          <w:b/>
          <w:lang w:val="ro-RO"/>
        </w:rPr>
      </w:pPr>
    </w:p>
    <w:p w14:paraId="1B17285D" w14:textId="77777777" w:rsidR="006635B6" w:rsidRDefault="006635B6" w:rsidP="006635B6">
      <w:pPr>
        <w:spacing w:line="240" w:lineRule="auto"/>
        <w:ind w:left="360"/>
        <w:rPr>
          <w:rFonts w:cs="Arial"/>
          <w:lang w:val="ro-RO"/>
        </w:rPr>
      </w:pPr>
      <w:r w:rsidRPr="0079337C">
        <w:rPr>
          <w:rFonts w:cs="Arial"/>
          <w:lang w:val="ro-RO"/>
        </w:rPr>
        <w:t>Beneficiari direcți</w:t>
      </w:r>
      <w:r>
        <w:rPr>
          <w:rFonts w:cs="Arial"/>
          <w:lang w:val="ro-RO"/>
        </w:rPr>
        <w:t xml:space="preserve">: </w:t>
      </w:r>
    </w:p>
    <w:p w14:paraId="62743380" w14:textId="77777777" w:rsidR="006635B6" w:rsidRDefault="006635B6" w:rsidP="006635B6">
      <w:pPr>
        <w:numPr>
          <w:ilvl w:val="1"/>
          <w:numId w:val="1"/>
        </w:numPr>
        <w:spacing w:line="240" w:lineRule="auto"/>
        <w:rPr>
          <w:rFonts w:cs="Arial"/>
          <w:lang w:val="ro-RO"/>
        </w:rPr>
      </w:pPr>
      <w:r w:rsidRPr="001F17AA">
        <w:rPr>
          <w:rFonts w:cs="Arial"/>
          <w:lang w:val="ro-RO"/>
        </w:rPr>
        <w:t xml:space="preserve">PARTENERIATELE constituite în baza unui ACORD DE COOPERARE din cel puţin un partener din categoriile de mai jos și cel puțin un fermier: </w:t>
      </w:r>
    </w:p>
    <w:p w14:paraId="1EE8ACCA" w14:textId="77777777" w:rsidR="006635B6" w:rsidRDefault="006635B6" w:rsidP="006635B6">
      <w:pPr>
        <w:numPr>
          <w:ilvl w:val="2"/>
          <w:numId w:val="2"/>
        </w:numPr>
        <w:spacing w:line="240" w:lineRule="auto"/>
        <w:rPr>
          <w:rFonts w:cs="Arial"/>
          <w:lang w:val="ro-RO"/>
        </w:rPr>
      </w:pPr>
      <w:r w:rsidRPr="001F17AA">
        <w:rPr>
          <w:rFonts w:cs="Arial"/>
          <w:lang w:val="ro-RO"/>
        </w:rPr>
        <w:t xml:space="preserve">societate civilă </w:t>
      </w:r>
    </w:p>
    <w:p w14:paraId="5F397B73" w14:textId="77777777" w:rsidR="006635B6" w:rsidRDefault="006635B6" w:rsidP="006635B6">
      <w:pPr>
        <w:numPr>
          <w:ilvl w:val="2"/>
          <w:numId w:val="2"/>
        </w:numPr>
        <w:spacing w:line="240" w:lineRule="auto"/>
        <w:rPr>
          <w:rFonts w:cs="Arial"/>
          <w:lang w:val="ro-RO"/>
        </w:rPr>
      </w:pPr>
      <w:r w:rsidRPr="001F17AA">
        <w:rPr>
          <w:rFonts w:cs="Arial"/>
          <w:lang w:val="ro-RO"/>
        </w:rPr>
        <w:t xml:space="preserve">entități private </w:t>
      </w:r>
    </w:p>
    <w:p w14:paraId="3B41E237" w14:textId="77777777" w:rsidR="006635B6" w:rsidRPr="001F17AA" w:rsidRDefault="006635B6" w:rsidP="006635B6">
      <w:pPr>
        <w:numPr>
          <w:ilvl w:val="2"/>
          <w:numId w:val="2"/>
        </w:numPr>
        <w:spacing w:line="240" w:lineRule="auto"/>
        <w:rPr>
          <w:rFonts w:cs="Arial"/>
          <w:lang w:val="ro-RO"/>
        </w:rPr>
      </w:pPr>
      <w:r w:rsidRPr="001F17AA">
        <w:rPr>
          <w:rFonts w:cs="Arial"/>
          <w:lang w:val="ro-RO"/>
        </w:rPr>
        <w:t xml:space="preserve">entități publice </w:t>
      </w:r>
    </w:p>
    <w:p w14:paraId="69901FFC" w14:textId="77777777" w:rsidR="006635B6" w:rsidRDefault="006635B6" w:rsidP="006635B6">
      <w:pPr>
        <w:spacing w:line="240" w:lineRule="auto"/>
        <w:ind w:left="360"/>
        <w:rPr>
          <w:rFonts w:cs="Arial"/>
          <w:lang w:val="ro-RO"/>
        </w:rPr>
      </w:pPr>
    </w:p>
    <w:p w14:paraId="5927F5BD" w14:textId="77777777" w:rsidR="006635B6" w:rsidRPr="00E96D74" w:rsidRDefault="006635B6" w:rsidP="006635B6">
      <w:pPr>
        <w:spacing w:line="240" w:lineRule="auto"/>
        <w:ind w:left="360"/>
        <w:rPr>
          <w:rFonts w:cs="Arial"/>
          <w:lang w:val="ro-RO"/>
        </w:rPr>
      </w:pPr>
      <w:r w:rsidRPr="00E96D74">
        <w:rPr>
          <w:rFonts w:cs="Arial"/>
          <w:lang w:val="ro-RO"/>
        </w:rPr>
        <w:t>Beneficiari indirecți:</w:t>
      </w:r>
    </w:p>
    <w:p w14:paraId="6D0B42C7" w14:textId="77777777" w:rsidR="006635B6" w:rsidRDefault="006635B6" w:rsidP="006635B6">
      <w:pPr>
        <w:numPr>
          <w:ilvl w:val="1"/>
          <w:numId w:val="1"/>
        </w:numPr>
        <w:spacing w:line="240" w:lineRule="auto"/>
        <w:rPr>
          <w:rFonts w:cs="Arial"/>
          <w:lang w:val="ro-RO"/>
        </w:rPr>
      </w:pPr>
      <w:r w:rsidRPr="00E96D74">
        <w:rPr>
          <w:rFonts w:cs="Arial"/>
          <w:lang w:val="ro-RO"/>
        </w:rPr>
        <w:t>Fermierii din teritoriu</w:t>
      </w:r>
    </w:p>
    <w:p w14:paraId="640DB471" w14:textId="77777777" w:rsidR="006635B6" w:rsidRDefault="006635B6" w:rsidP="006635B6">
      <w:pPr>
        <w:spacing w:line="240" w:lineRule="auto"/>
        <w:rPr>
          <w:rFonts w:cs="Arial"/>
          <w:lang w:val="ro-RO"/>
        </w:rPr>
      </w:pPr>
    </w:p>
    <w:p w14:paraId="7CD03F78" w14:textId="77777777" w:rsidR="006635B6" w:rsidRPr="000A3F41" w:rsidRDefault="006635B6" w:rsidP="006635B6">
      <w:pPr>
        <w:pStyle w:val="ListParagraph"/>
        <w:numPr>
          <w:ilvl w:val="0"/>
          <w:numId w:val="3"/>
        </w:numPr>
        <w:rPr>
          <w:rFonts w:cs="Arial"/>
          <w:lang w:val="ro-RO"/>
        </w:rPr>
      </w:pPr>
      <w:r w:rsidRPr="00E524AF">
        <w:rPr>
          <w:rFonts w:cs="Arial"/>
          <w:b/>
          <w:lang w:val="ro-RO"/>
        </w:rPr>
        <w:t>Tip</w:t>
      </w:r>
      <w:r>
        <w:rPr>
          <w:rFonts w:cs="Arial"/>
          <w:b/>
          <w:lang w:val="ro-RO"/>
        </w:rPr>
        <w:t>ul</w:t>
      </w:r>
      <w:r w:rsidRPr="00E524AF">
        <w:rPr>
          <w:rFonts w:cs="Arial"/>
          <w:b/>
          <w:lang w:val="ro-RO"/>
        </w:rPr>
        <w:t xml:space="preserve"> de sprijin</w:t>
      </w:r>
      <w:r w:rsidRPr="000A3F41">
        <w:rPr>
          <w:rFonts w:cs="Arial"/>
          <w:lang w:val="ro-RO"/>
        </w:rPr>
        <w:t xml:space="preserve"> (conform art. 67 din Reg. (UE) nr.1303/2013)</w:t>
      </w:r>
    </w:p>
    <w:p w14:paraId="5C1FD86D" w14:textId="77777777" w:rsidR="006635B6" w:rsidRDefault="006635B6" w:rsidP="006635B6">
      <w:pPr>
        <w:numPr>
          <w:ilvl w:val="1"/>
          <w:numId w:val="1"/>
        </w:numPr>
        <w:spacing w:line="240" w:lineRule="auto"/>
        <w:rPr>
          <w:rFonts w:cs="Arial"/>
          <w:lang w:val="ro-RO"/>
        </w:rPr>
      </w:pPr>
      <w:r w:rsidRPr="005F2BB2">
        <w:rPr>
          <w:rFonts w:cs="Arial"/>
          <w:lang w:val="ro-RO"/>
        </w:rPr>
        <w:t xml:space="preserve">rambursarea costurilor eligibile suportate și plătite efectiv; </w:t>
      </w:r>
    </w:p>
    <w:p w14:paraId="4CBEB4EC" w14:textId="77777777" w:rsidR="006635B6" w:rsidRPr="005F2BB2" w:rsidRDefault="006635B6" w:rsidP="006635B6">
      <w:pPr>
        <w:numPr>
          <w:ilvl w:val="1"/>
          <w:numId w:val="1"/>
        </w:numPr>
        <w:spacing w:line="240" w:lineRule="auto"/>
        <w:rPr>
          <w:rFonts w:cs="Arial"/>
          <w:lang w:val="ro-RO"/>
        </w:rPr>
      </w:pPr>
      <w:r w:rsidRPr="005F2BB2">
        <w:rPr>
          <w:rFonts w:cs="Arial"/>
          <w:lang w:val="ro-RO"/>
        </w:rPr>
        <w:t>plăți în avans, cu condiția constituirii unei garanții bancare sau a unei garanții echivalente corespunzătoare procentului de 100% din valoarea avansului, în conformitate cu art. 45 (4) și art. 63 ale Reg. (UE) Nr. 1305/2013, numai în cazul proiectelor de investiții.</w:t>
      </w:r>
    </w:p>
    <w:p w14:paraId="4B2FAE15" w14:textId="77777777" w:rsidR="006635B6" w:rsidRDefault="006635B6" w:rsidP="006635B6">
      <w:pPr>
        <w:pStyle w:val="ListParagraph"/>
        <w:numPr>
          <w:ilvl w:val="0"/>
          <w:numId w:val="3"/>
        </w:numPr>
        <w:rPr>
          <w:rFonts w:cs="Arial"/>
          <w:b/>
          <w:lang w:val="ro-RO"/>
        </w:rPr>
      </w:pPr>
      <w:r w:rsidRPr="00E524AF">
        <w:rPr>
          <w:rFonts w:cs="Arial"/>
          <w:b/>
          <w:lang w:val="ro-RO"/>
        </w:rPr>
        <w:lastRenderedPageBreak/>
        <w:t>Tipurile de actiuni (cheltuieli) eligibile si neeligibile</w:t>
      </w:r>
    </w:p>
    <w:p w14:paraId="7F362821" w14:textId="77777777" w:rsidR="006635B6" w:rsidRDefault="006635B6" w:rsidP="006635B6">
      <w:pPr>
        <w:pStyle w:val="ListParagraph"/>
        <w:ind w:left="360"/>
        <w:rPr>
          <w:rFonts w:cs="Arial"/>
          <w:b/>
          <w:lang w:val="ro-RO"/>
        </w:rPr>
      </w:pPr>
      <w:r w:rsidRPr="00120B58">
        <w:rPr>
          <w:rFonts w:cs="Arial"/>
          <w:b/>
          <w:lang w:val="ro-RO"/>
        </w:rPr>
        <w:t>Actiuni/cheltuieli eligibile specifice</w:t>
      </w:r>
      <w:r>
        <w:rPr>
          <w:rFonts w:cs="Arial"/>
          <w:b/>
          <w:lang w:val="ro-RO"/>
        </w:rPr>
        <w:t>:</w:t>
      </w:r>
    </w:p>
    <w:p w14:paraId="5BAE6549" w14:textId="77777777" w:rsidR="006635B6" w:rsidRPr="00120B58" w:rsidRDefault="006635B6" w:rsidP="006635B6">
      <w:pPr>
        <w:pStyle w:val="ListParagraph"/>
        <w:ind w:left="360" w:firstLine="360"/>
        <w:rPr>
          <w:rFonts w:cs="Arial"/>
          <w:b/>
          <w:lang w:val="ro-RO"/>
        </w:rPr>
      </w:pPr>
      <w:r w:rsidRPr="00120B58">
        <w:rPr>
          <w:rFonts w:cs="Arial"/>
          <w:lang w:val="ro-RO"/>
        </w:rPr>
        <w:t> Studii/planuri;</w:t>
      </w:r>
    </w:p>
    <w:p w14:paraId="4C707F8E" w14:textId="77777777" w:rsidR="006635B6" w:rsidRPr="00120B58" w:rsidRDefault="006635B6" w:rsidP="006635B6">
      <w:pPr>
        <w:pStyle w:val="ListParagraph"/>
        <w:rPr>
          <w:rFonts w:cs="Arial"/>
          <w:lang w:val="ro-RO"/>
        </w:rPr>
      </w:pPr>
      <w:r w:rsidRPr="00120B58">
        <w:rPr>
          <w:rFonts w:cs="Arial"/>
          <w:lang w:val="ro-RO"/>
        </w:rPr>
        <w:t> Costurile de funcţionare a cooperării;</w:t>
      </w:r>
    </w:p>
    <w:p w14:paraId="12DA42DB" w14:textId="77777777" w:rsidR="006635B6" w:rsidRPr="00120B58" w:rsidRDefault="006635B6" w:rsidP="006635B6">
      <w:pPr>
        <w:pStyle w:val="ListParagraph"/>
        <w:rPr>
          <w:rFonts w:cs="Arial"/>
          <w:lang w:val="ro-RO"/>
        </w:rPr>
      </w:pPr>
      <w:r w:rsidRPr="00120B58">
        <w:rPr>
          <w:rFonts w:cs="Arial"/>
          <w:lang w:val="ro-RO"/>
        </w:rPr>
        <w:t> Costuri directe ale proiectelor specifice corelate cu planul proiectului;</w:t>
      </w:r>
    </w:p>
    <w:p w14:paraId="5A437DFC" w14:textId="77777777" w:rsidR="006635B6" w:rsidRPr="00120B58" w:rsidRDefault="006635B6" w:rsidP="006635B6">
      <w:pPr>
        <w:pStyle w:val="ListParagraph"/>
        <w:rPr>
          <w:rFonts w:cs="Arial"/>
          <w:lang w:val="ro-RO"/>
        </w:rPr>
      </w:pPr>
      <w:r w:rsidRPr="00120B58">
        <w:rPr>
          <w:rFonts w:cs="Arial"/>
          <w:lang w:val="ro-RO"/>
        </w:rPr>
        <w:t> Costuri de promovare.</w:t>
      </w:r>
    </w:p>
    <w:p w14:paraId="6A450FC0" w14:textId="77777777" w:rsidR="006635B6" w:rsidRDefault="006635B6" w:rsidP="006635B6">
      <w:pPr>
        <w:pStyle w:val="ListParagraph"/>
        <w:rPr>
          <w:rFonts w:cs="Arial"/>
          <w:lang w:val="ro-RO"/>
        </w:rPr>
      </w:pPr>
      <w:r w:rsidRPr="00120B58">
        <w:rPr>
          <w:rFonts w:cs="Arial"/>
          <w:lang w:val="ro-RO"/>
        </w:rPr>
        <w:t>Sprijinul se va acorda pentru activităţile prevăzute pentru îndeplinirea obiectivelor din cadrul planului de</w:t>
      </w:r>
      <w:r>
        <w:rPr>
          <w:rFonts w:cs="Arial"/>
          <w:lang w:val="ro-RO"/>
        </w:rPr>
        <w:t xml:space="preserve"> </w:t>
      </w:r>
      <w:r w:rsidRPr="00120B58">
        <w:rPr>
          <w:rFonts w:cs="Arial"/>
          <w:lang w:val="ro-RO"/>
        </w:rPr>
        <w:t>proiect.</w:t>
      </w:r>
    </w:p>
    <w:p w14:paraId="767A2578" w14:textId="77777777" w:rsidR="006635B6" w:rsidRPr="00120B58" w:rsidRDefault="006635B6" w:rsidP="006635B6">
      <w:pPr>
        <w:pStyle w:val="ListParagraph"/>
        <w:rPr>
          <w:rFonts w:cs="Arial"/>
          <w:lang w:val="ro-RO"/>
        </w:rPr>
      </w:pPr>
    </w:p>
    <w:p w14:paraId="46FC5BF0" w14:textId="77777777" w:rsidR="006635B6" w:rsidRDefault="006635B6" w:rsidP="006635B6">
      <w:pPr>
        <w:pStyle w:val="ListParagraph"/>
        <w:numPr>
          <w:ilvl w:val="0"/>
          <w:numId w:val="3"/>
        </w:numPr>
        <w:rPr>
          <w:rFonts w:cs="Arial"/>
          <w:b/>
          <w:lang w:val="ro-RO"/>
        </w:rPr>
      </w:pPr>
      <w:r w:rsidRPr="00E524AF">
        <w:rPr>
          <w:rFonts w:cs="Arial"/>
          <w:b/>
          <w:lang w:val="ro-RO"/>
        </w:rPr>
        <w:t>Condiții de eligibilitate Specifice</w:t>
      </w:r>
    </w:p>
    <w:p w14:paraId="5A5FDD07" w14:textId="77777777" w:rsidR="006635B6" w:rsidRPr="00120B58" w:rsidRDefault="006635B6" w:rsidP="006635B6">
      <w:pPr>
        <w:pStyle w:val="ListParagraph"/>
        <w:rPr>
          <w:rFonts w:cs="Arial"/>
          <w:lang w:val="ro-RO"/>
        </w:rPr>
      </w:pPr>
      <w:r w:rsidRPr="00120B58">
        <w:rPr>
          <w:rFonts w:cs="Arial"/>
          <w:lang w:val="ro-RO"/>
        </w:rPr>
        <w:t xml:space="preserve"> </w:t>
      </w:r>
      <w:r>
        <w:rPr>
          <w:rFonts w:cs="Arial"/>
          <w:lang w:val="ro-RO"/>
        </w:rPr>
        <w:t xml:space="preserve"> </w:t>
      </w:r>
      <w:r w:rsidRPr="00120B58">
        <w:rPr>
          <w:rFonts w:cs="Arial"/>
          <w:lang w:val="ro-RO"/>
        </w:rPr>
        <w:t>Solicitantul se încadrează în categoria beneficiarilor eligibili;</w:t>
      </w:r>
    </w:p>
    <w:p w14:paraId="2AAF4364" w14:textId="77777777" w:rsidR="006635B6" w:rsidRPr="00120B58" w:rsidRDefault="006635B6" w:rsidP="006635B6">
      <w:pPr>
        <w:pStyle w:val="ListParagraph"/>
        <w:rPr>
          <w:rFonts w:cs="Arial"/>
          <w:lang w:val="ro-RO"/>
        </w:rPr>
      </w:pPr>
      <w:r w:rsidRPr="00120B58">
        <w:rPr>
          <w:rFonts w:cs="Arial"/>
          <w:lang w:val="ro-RO"/>
        </w:rPr>
        <w:t> Solicitantul va depune un acord de cooperare care face referire la o perioadă de funcționare cel puțin</w:t>
      </w:r>
      <w:r>
        <w:rPr>
          <w:rFonts w:cs="Arial"/>
          <w:lang w:val="ro-RO"/>
        </w:rPr>
        <w:t xml:space="preserve"> </w:t>
      </w:r>
      <w:r w:rsidRPr="00120B58">
        <w:rPr>
          <w:rFonts w:cs="Arial"/>
          <w:lang w:val="ro-RO"/>
        </w:rPr>
        <w:t>egală cu perioada pentru care se acordă finanțarea;</w:t>
      </w:r>
    </w:p>
    <w:p w14:paraId="20B911BF" w14:textId="77777777" w:rsidR="006635B6" w:rsidRPr="00120B58" w:rsidRDefault="006635B6" w:rsidP="006635B6">
      <w:pPr>
        <w:pStyle w:val="ListParagraph"/>
        <w:rPr>
          <w:rFonts w:cs="Arial"/>
          <w:lang w:val="ro-RO"/>
        </w:rPr>
      </w:pPr>
      <w:r w:rsidRPr="00120B58">
        <w:rPr>
          <w:rFonts w:cs="Arial"/>
          <w:lang w:val="ro-RO"/>
        </w:rPr>
        <w:t> Pentru proiectele legate de lanțurile scurte de aprovizionare, solicitantul va depune un studiu/plan,</w:t>
      </w:r>
      <w:r>
        <w:rPr>
          <w:rFonts w:cs="Arial"/>
          <w:lang w:val="ro-RO"/>
        </w:rPr>
        <w:t xml:space="preserve"> </w:t>
      </w:r>
      <w:r w:rsidRPr="00120B58">
        <w:rPr>
          <w:rFonts w:cs="Arial"/>
          <w:lang w:val="ro-RO"/>
        </w:rPr>
        <w:t>privitor la conceptul de proiect privind lanțul scurt de aprovizionare;</w:t>
      </w:r>
    </w:p>
    <w:p w14:paraId="76EA8BA0" w14:textId="77777777" w:rsidR="006635B6" w:rsidRPr="00120B58" w:rsidRDefault="006635B6" w:rsidP="006635B6">
      <w:pPr>
        <w:pStyle w:val="ListParagraph"/>
        <w:rPr>
          <w:rFonts w:cs="Arial"/>
          <w:lang w:val="ro-RO"/>
        </w:rPr>
      </w:pPr>
      <w:r w:rsidRPr="00120B58">
        <w:rPr>
          <w:rFonts w:cs="Arial"/>
          <w:lang w:val="ro-RO"/>
        </w:rPr>
        <w:t> Pentru proiectele legate de piețele locale, solicitantul va prez</w:t>
      </w:r>
      <w:r>
        <w:rPr>
          <w:rFonts w:cs="Arial"/>
          <w:lang w:val="ro-RO"/>
        </w:rPr>
        <w:t>e</w:t>
      </w:r>
      <w:r w:rsidRPr="00120B58">
        <w:rPr>
          <w:rFonts w:cs="Arial"/>
          <w:lang w:val="ro-RO"/>
        </w:rPr>
        <w:t>nta un concept de marketing adaptat la</w:t>
      </w:r>
      <w:r>
        <w:rPr>
          <w:rFonts w:cs="Arial"/>
          <w:lang w:val="ro-RO"/>
        </w:rPr>
        <w:t xml:space="preserve"> </w:t>
      </w:r>
      <w:r w:rsidRPr="00120B58">
        <w:rPr>
          <w:rFonts w:cs="Arial"/>
          <w:lang w:val="ro-RO"/>
        </w:rPr>
        <w:t>piața locală care să cuprindă, dacă este cazul, și o descriere a activităților de promovare propuse.</w:t>
      </w:r>
    </w:p>
    <w:p w14:paraId="1EFB5EA8" w14:textId="77777777" w:rsidR="006635B6" w:rsidRPr="00120B58" w:rsidRDefault="006635B6" w:rsidP="006635B6">
      <w:pPr>
        <w:pStyle w:val="ListParagraph"/>
        <w:rPr>
          <w:rFonts w:cs="Arial"/>
          <w:lang w:val="ro-RO"/>
        </w:rPr>
      </w:pPr>
      <w:r w:rsidRPr="00120B58">
        <w:rPr>
          <w:rFonts w:cs="Arial"/>
          <w:lang w:val="ro-RO"/>
        </w:rPr>
        <w:t> Proiectul de cooperare propus va fi nou și nu va fi în curs de defășurare sau finalizat;</w:t>
      </w:r>
    </w:p>
    <w:p w14:paraId="2C6B0B4E" w14:textId="77777777" w:rsidR="006635B6" w:rsidRPr="00E524AF" w:rsidRDefault="006635B6" w:rsidP="006635B6">
      <w:pPr>
        <w:pStyle w:val="ListParagraph"/>
        <w:rPr>
          <w:rFonts w:cs="Arial"/>
          <w:b/>
          <w:lang w:val="ro-RO"/>
        </w:rPr>
      </w:pPr>
      <w:r w:rsidRPr="00120B58">
        <w:rPr>
          <w:rFonts w:cs="Arial"/>
          <w:lang w:val="ro-RO"/>
        </w:rPr>
        <w:t> Dacă este cazul, solicitantul va respecta definițiile cu privire la lanțurile scurte de aprovizionare și</w:t>
      </w:r>
      <w:r>
        <w:rPr>
          <w:rFonts w:cs="Arial"/>
          <w:lang w:val="ro-RO"/>
        </w:rPr>
        <w:t xml:space="preserve"> </w:t>
      </w:r>
      <w:r w:rsidRPr="00120B58">
        <w:rPr>
          <w:rFonts w:cs="Arial"/>
          <w:lang w:val="ro-RO"/>
        </w:rPr>
        <w:t>piețele locale stabilite în conformitate cu prevederile din articolul 11 din Regulamentul (UE) nr.</w:t>
      </w:r>
      <w:r>
        <w:rPr>
          <w:rFonts w:cs="Arial"/>
          <w:lang w:val="ro-RO"/>
        </w:rPr>
        <w:t xml:space="preserve"> </w:t>
      </w:r>
      <w:r w:rsidRPr="00120B58">
        <w:rPr>
          <w:rFonts w:cs="Arial"/>
          <w:lang w:val="ro-RO"/>
        </w:rPr>
        <w:t xml:space="preserve">807/2014 și descrise în secțiunea Informații specifice operațiunii din fișa măsurii. </w:t>
      </w:r>
      <w:r w:rsidRPr="00120B58">
        <w:rPr>
          <w:rFonts w:cs="Arial"/>
          <w:lang w:val="ro-RO"/>
        </w:rPr>
        <w:cr/>
      </w:r>
    </w:p>
    <w:p w14:paraId="219D72A0" w14:textId="77777777" w:rsidR="006635B6" w:rsidRDefault="006635B6" w:rsidP="006635B6">
      <w:pPr>
        <w:pStyle w:val="ListParagraph"/>
        <w:numPr>
          <w:ilvl w:val="0"/>
          <w:numId w:val="3"/>
        </w:numPr>
        <w:rPr>
          <w:rFonts w:cs="Arial"/>
          <w:b/>
          <w:lang w:val="ro-RO"/>
        </w:rPr>
      </w:pPr>
      <w:r>
        <w:rPr>
          <w:rFonts w:cs="Arial"/>
          <w:b/>
          <w:lang w:val="ro-RO"/>
        </w:rPr>
        <w:t>Principii</w:t>
      </w:r>
      <w:r w:rsidRPr="00E524AF">
        <w:rPr>
          <w:rFonts w:cs="Arial"/>
          <w:b/>
          <w:lang w:val="ro-RO"/>
        </w:rPr>
        <w:t xml:space="preserve"> de selectie</w:t>
      </w:r>
    </w:p>
    <w:p w14:paraId="30431BF3" w14:textId="77777777" w:rsidR="006635B6" w:rsidRPr="000814AB" w:rsidRDefault="006635B6" w:rsidP="006635B6">
      <w:pPr>
        <w:pStyle w:val="ListParagraph"/>
        <w:rPr>
          <w:rFonts w:cs="Arial"/>
          <w:lang w:val="ro-RO"/>
        </w:rPr>
      </w:pPr>
      <w:r w:rsidRPr="000814AB">
        <w:rPr>
          <w:rFonts w:cs="Arial"/>
          <w:lang w:val="ro-RO"/>
        </w:rPr>
        <w:t xml:space="preserve"> </w:t>
      </w:r>
      <w:r>
        <w:rPr>
          <w:rFonts w:cs="Arial"/>
          <w:lang w:val="ro-RO"/>
        </w:rPr>
        <w:t xml:space="preserve"> </w:t>
      </w:r>
      <w:r w:rsidRPr="000814AB">
        <w:rPr>
          <w:rFonts w:cs="Arial"/>
          <w:lang w:val="ro-RO"/>
        </w:rPr>
        <w:t>Principiul reprezentativității cooperării, respectiv numărul de parteneri implicați;</w:t>
      </w:r>
    </w:p>
    <w:p w14:paraId="1993F91E" w14:textId="77777777" w:rsidR="006635B6" w:rsidRPr="000814AB" w:rsidRDefault="006635B6" w:rsidP="006635B6">
      <w:pPr>
        <w:pStyle w:val="ListParagraph"/>
        <w:rPr>
          <w:rFonts w:cs="Arial"/>
          <w:lang w:val="ro-RO"/>
        </w:rPr>
      </w:pPr>
      <w:r w:rsidRPr="000814AB">
        <w:rPr>
          <w:rFonts w:cs="Arial"/>
          <w:lang w:val="ro-RO"/>
        </w:rPr>
        <w:t> Principiul structurii adecvate de parteneriat, pe baza obiectivului proiectului;</w:t>
      </w:r>
    </w:p>
    <w:p w14:paraId="5CC8C472" w14:textId="77777777" w:rsidR="006635B6" w:rsidRPr="000814AB" w:rsidRDefault="006635B6" w:rsidP="006635B6">
      <w:pPr>
        <w:pStyle w:val="ListParagraph"/>
        <w:rPr>
          <w:rFonts w:cs="Arial"/>
          <w:lang w:val="ro-RO"/>
        </w:rPr>
      </w:pPr>
      <w:r w:rsidRPr="000814AB">
        <w:rPr>
          <w:rFonts w:cs="Arial"/>
          <w:lang w:val="ro-RO"/>
        </w:rPr>
        <w:t xml:space="preserve"> </w:t>
      </w:r>
      <w:r>
        <w:rPr>
          <w:rFonts w:cs="Arial"/>
          <w:lang w:val="ro-RO"/>
        </w:rPr>
        <w:t xml:space="preserve">  </w:t>
      </w:r>
      <w:r w:rsidRPr="000814AB">
        <w:rPr>
          <w:rFonts w:cs="Arial"/>
          <w:lang w:val="ro-RO"/>
        </w:rPr>
        <w:t>Principiul valorii adăugate (parteneriatele care produc și comercializează produse cu valoare adăugată mare, care participă la scheme de calitate naționale și europene, produse din sistemele agricole HNV etc.);</w:t>
      </w:r>
    </w:p>
    <w:p w14:paraId="1D252D5F" w14:textId="77777777" w:rsidR="006635B6" w:rsidRDefault="006635B6" w:rsidP="006635B6">
      <w:pPr>
        <w:pStyle w:val="ListParagraph"/>
        <w:rPr>
          <w:rFonts w:cs="Arial"/>
          <w:b/>
          <w:lang w:val="ro-RO"/>
        </w:rPr>
      </w:pPr>
    </w:p>
    <w:p w14:paraId="364A54D4" w14:textId="77777777" w:rsidR="006635B6" w:rsidRDefault="006635B6" w:rsidP="006635B6">
      <w:pPr>
        <w:pStyle w:val="ListParagraph"/>
        <w:numPr>
          <w:ilvl w:val="0"/>
          <w:numId w:val="3"/>
        </w:numPr>
        <w:ind w:left="576" w:hanging="576"/>
        <w:rPr>
          <w:rFonts w:cs="Arial"/>
          <w:b/>
          <w:lang w:val="ro-RO"/>
        </w:rPr>
      </w:pPr>
      <w:r w:rsidRPr="00E524AF">
        <w:rPr>
          <w:rFonts w:cs="Arial"/>
          <w:b/>
          <w:lang w:val="ro-RO"/>
        </w:rPr>
        <w:t>Sume (aplicabile) si rata sprijinului</w:t>
      </w:r>
    </w:p>
    <w:p w14:paraId="5CA50F26" w14:textId="77777777" w:rsidR="006635B6" w:rsidRDefault="006635B6" w:rsidP="006635B6">
      <w:pPr>
        <w:pStyle w:val="ListParagraph"/>
        <w:ind w:left="576"/>
      </w:pPr>
      <w:proofErr w:type="spellStart"/>
      <w:r>
        <w:t>Ponderea</w:t>
      </w:r>
      <w:proofErr w:type="spellEnd"/>
      <w:r>
        <w:t xml:space="preserve"> </w:t>
      </w:r>
      <w:proofErr w:type="spellStart"/>
      <w:r>
        <w:t>sprijinului</w:t>
      </w:r>
      <w:proofErr w:type="spellEnd"/>
      <w:r>
        <w:t xml:space="preserve"> </w:t>
      </w:r>
      <w:proofErr w:type="spellStart"/>
      <w:r>
        <w:t>nerambursabil</w:t>
      </w:r>
      <w:proofErr w:type="spellEnd"/>
      <w:r>
        <w:t xml:space="preserve"> </w:t>
      </w:r>
      <w:proofErr w:type="spellStart"/>
      <w:r>
        <w:t>este</w:t>
      </w:r>
      <w:proofErr w:type="spellEnd"/>
      <w:r>
        <w:t xml:space="preserve"> de 100% din </w:t>
      </w:r>
      <w:proofErr w:type="spellStart"/>
      <w:r>
        <w:t>totalul</w:t>
      </w:r>
      <w:proofErr w:type="spellEnd"/>
      <w:r>
        <w:t xml:space="preserve"> </w:t>
      </w:r>
      <w:proofErr w:type="spellStart"/>
      <w:r>
        <w:t>cheltuielilor</w:t>
      </w:r>
      <w:proofErr w:type="spellEnd"/>
      <w:r>
        <w:t xml:space="preserve"> </w:t>
      </w:r>
      <w:proofErr w:type="spellStart"/>
      <w:r>
        <w:t>eligibile</w:t>
      </w:r>
      <w:proofErr w:type="spellEnd"/>
      <w:r>
        <w:t>.</w:t>
      </w:r>
    </w:p>
    <w:p w14:paraId="4342FF3E" w14:textId="77777777" w:rsidR="006635B6" w:rsidRPr="00E524AF" w:rsidRDefault="006635B6" w:rsidP="006635B6">
      <w:pPr>
        <w:pStyle w:val="ListParagraph"/>
        <w:ind w:left="576"/>
        <w:rPr>
          <w:rFonts w:cs="Arial"/>
          <w:b/>
          <w:lang w:val="ro-RO"/>
        </w:rPr>
      </w:pPr>
    </w:p>
    <w:p w14:paraId="7C46D093" w14:textId="77777777" w:rsidR="006635B6" w:rsidRPr="001E0BF3" w:rsidRDefault="006635B6" w:rsidP="006635B6">
      <w:pPr>
        <w:pStyle w:val="ListParagraph"/>
        <w:numPr>
          <w:ilvl w:val="0"/>
          <w:numId w:val="3"/>
        </w:numPr>
        <w:ind w:left="576" w:hanging="576"/>
        <w:rPr>
          <w:rFonts w:cs="Arial"/>
          <w:b/>
          <w:lang w:val="ro-RO"/>
        </w:rPr>
      </w:pPr>
      <w:r w:rsidRPr="001E0BF3">
        <w:rPr>
          <w:rFonts w:cs="Arial"/>
          <w:b/>
          <w:lang w:val="ro-RO"/>
        </w:rPr>
        <w:t>Indicatori de monitorizare</w:t>
      </w:r>
    </w:p>
    <w:p w14:paraId="43BC9C8D" w14:textId="77777777" w:rsidR="006635B6" w:rsidRDefault="006635B6" w:rsidP="006635B6">
      <w:pPr>
        <w:spacing w:line="240" w:lineRule="auto"/>
        <w:ind w:left="576"/>
        <w:rPr>
          <w:rFonts w:cs="Arial"/>
          <w:lang w:val="ro-RO"/>
        </w:rPr>
      </w:pPr>
      <w:r w:rsidRPr="001E0BF3">
        <w:rPr>
          <w:rFonts w:cs="Arial"/>
          <w:lang w:val="ro-RO"/>
        </w:rPr>
        <w:t>Numărul de exploatații agricole care primesc sprijin pentru participarea la sistemele de calitate, la piețele locale și la circuitele de aprovizionare scurte, precum și la grupuri/organizații de producători</w:t>
      </w:r>
      <w:r>
        <w:rPr>
          <w:rFonts w:cs="Arial"/>
          <w:lang w:val="ro-RO"/>
        </w:rPr>
        <w:t>:  7</w:t>
      </w:r>
    </w:p>
    <w:p w14:paraId="59BB3819" w14:textId="77777777" w:rsidR="00213176" w:rsidRDefault="00213176"/>
    <w:sectPr w:rsidR="002131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1B6D" w14:textId="77777777" w:rsidR="007663D6" w:rsidRDefault="007663D6" w:rsidP="006635B6">
      <w:pPr>
        <w:spacing w:line="240" w:lineRule="auto"/>
      </w:pPr>
      <w:r>
        <w:separator/>
      </w:r>
    </w:p>
  </w:endnote>
  <w:endnote w:type="continuationSeparator" w:id="0">
    <w:p w14:paraId="35EDF93F" w14:textId="77777777" w:rsidR="007663D6" w:rsidRDefault="007663D6" w:rsidP="00663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76C6" w14:textId="77777777" w:rsidR="007663D6" w:rsidRDefault="007663D6" w:rsidP="006635B6">
      <w:pPr>
        <w:spacing w:line="240" w:lineRule="auto"/>
      </w:pPr>
      <w:r>
        <w:separator/>
      </w:r>
    </w:p>
  </w:footnote>
  <w:footnote w:type="continuationSeparator" w:id="0">
    <w:p w14:paraId="734C76B3" w14:textId="77777777" w:rsidR="007663D6" w:rsidRDefault="007663D6" w:rsidP="00663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85A0" w14:textId="10D52EE9" w:rsidR="006635B6" w:rsidRDefault="006635B6" w:rsidP="006635B6">
    <w:pPr>
      <w:pStyle w:val="Header"/>
      <w:jc w:val="center"/>
    </w:pPr>
    <w:r>
      <w:rPr>
        <w:noProof/>
      </w:rPr>
      <w:drawing>
        <wp:inline distT="0" distB="0" distL="0" distR="0" wp14:anchorId="5D7565A7" wp14:editId="02330A8B">
          <wp:extent cx="5731510" cy="122835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7562"/>
    <w:multiLevelType w:val="multilevel"/>
    <w:tmpl w:val="675EDD8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E3582A"/>
    <w:multiLevelType w:val="hybridMultilevel"/>
    <w:tmpl w:val="9328E386"/>
    <w:lvl w:ilvl="0" w:tplc="04090001">
      <w:start w:val="1"/>
      <w:numFmt w:val="bullet"/>
      <w:lvlText w:val=""/>
      <w:lvlJc w:val="left"/>
      <w:pPr>
        <w:ind w:left="360" w:hanging="360"/>
      </w:pPr>
      <w:rPr>
        <w:rFonts w:ascii="Symbol" w:hAnsi="Symbol" w:hint="default"/>
      </w:rPr>
    </w:lvl>
    <w:lvl w:ilvl="1" w:tplc="0ADCEBA2">
      <w:numFmt w:val="bullet"/>
      <w:lvlText w:val="•"/>
      <w:lvlJc w:val="left"/>
      <w:pPr>
        <w:ind w:left="1080" w:hanging="360"/>
      </w:pPr>
      <w:rPr>
        <w:rFonts w:ascii="Trebuchet MS" w:eastAsia="Calibri"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9D52DD"/>
    <w:multiLevelType w:val="hybridMultilevel"/>
    <w:tmpl w:val="B33ECB1A"/>
    <w:lvl w:ilvl="0" w:tplc="C62E8F74">
      <w:numFmt w:val="bullet"/>
      <w:lvlText w:val="-"/>
      <w:lvlJc w:val="left"/>
      <w:pPr>
        <w:ind w:left="528" w:hanging="360"/>
      </w:pPr>
      <w:rPr>
        <w:rFonts w:ascii="Trebuchet MS" w:eastAsia="Times New Roman" w:hAnsi="Trebuchet MS" w:cs="Arial" w:hint="default"/>
      </w:rPr>
    </w:lvl>
    <w:lvl w:ilvl="1" w:tplc="04180003">
      <w:start w:val="1"/>
      <w:numFmt w:val="bullet"/>
      <w:lvlText w:val="o"/>
      <w:lvlJc w:val="left"/>
      <w:pPr>
        <w:ind w:left="1023" w:hanging="360"/>
      </w:pPr>
      <w:rPr>
        <w:rFonts w:ascii="Courier New" w:hAnsi="Courier New" w:cs="Courier New" w:hint="default"/>
      </w:rPr>
    </w:lvl>
    <w:lvl w:ilvl="2" w:tplc="04180005">
      <w:start w:val="1"/>
      <w:numFmt w:val="bullet"/>
      <w:lvlText w:val=""/>
      <w:lvlJc w:val="left"/>
      <w:pPr>
        <w:ind w:left="1743" w:hanging="360"/>
      </w:pPr>
      <w:rPr>
        <w:rFonts w:ascii="Wingdings" w:hAnsi="Wingdings" w:hint="default"/>
      </w:rPr>
    </w:lvl>
    <w:lvl w:ilvl="3" w:tplc="04180001">
      <w:start w:val="1"/>
      <w:numFmt w:val="bullet"/>
      <w:lvlText w:val=""/>
      <w:lvlJc w:val="left"/>
      <w:pPr>
        <w:ind w:left="2463" w:hanging="360"/>
      </w:pPr>
      <w:rPr>
        <w:rFonts w:ascii="Symbol" w:hAnsi="Symbol" w:hint="default"/>
      </w:rPr>
    </w:lvl>
    <w:lvl w:ilvl="4" w:tplc="04180003" w:tentative="1">
      <w:start w:val="1"/>
      <w:numFmt w:val="bullet"/>
      <w:lvlText w:val="o"/>
      <w:lvlJc w:val="left"/>
      <w:pPr>
        <w:ind w:left="3183" w:hanging="360"/>
      </w:pPr>
      <w:rPr>
        <w:rFonts w:ascii="Courier New" w:hAnsi="Courier New" w:cs="Courier New" w:hint="default"/>
      </w:rPr>
    </w:lvl>
    <w:lvl w:ilvl="5" w:tplc="04180005" w:tentative="1">
      <w:start w:val="1"/>
      <w:numFmt w:val="bullet"/>
      <w:lvlText w:val=""/>
      <w:lvlJc w:val="left"/>
      <w:pPr>
        <w:ind w:left="3903" w:hanging="360"/>
      </w:pPr>
      <w:rPr>
        <w:rFonts w:ascii="Wingdings" w:hAnsi="Wingdings" w:hint="default"/>
      </w:rPr>
    </w:lvl>
    <w:lvl w:ilvl="6" w:tplc="04180001" w:tentative="1">
      <w:start w:val="1"/>
      <w:numFmt w:val="bullet"/>
      <w:lvlText w:val=""/>
      <w:lvlJc w:val="left"/>
      <w:pPr>
        <w:ind w:left="4623" w:hanging="360"/>
      </w:pPr>
      <w:rPr>
        <w:rFonts w:ascii="Symbol" w:hAnsi="Symbol" w:hint="default"/>
      </w:rPr>
    </w:lvl>
    <w:lvl w:ilvl="7" w:tplc="04180003" w:tentative="1">
      <w:start w:val="1"/>
      <w:numFmt w:val="bullet"/>
      <w:lvlText w:val="o"/>
      <w:lvlJc w:val="left"/>
      <w:pPr>
        <w:ind w:left="5343" w:hanging="360"/>
      </w:pPr>
      <w:rPr>
        <w:rFonts w:ascii="Courier New" w:hAnsi="Courier New" w:cs="Courier New" w:hint="default"/>
      </w:rPr>
    </w:lvl>
    <w:lvl w:ilvl="8" w:tplc="04180005" w:tentative="1">
      <w:start w:val="1"/>
      <w:numFmt w:val="bullet"/>
      <w:lvlText w:val=""/>
      <w:lvlJc w:val="left"/>
      <w:pPr>
        <w:ind w:left="60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B6"/>
    <w:rsid w:val="00213176"/>
    <w:rsid w:val="006635B6"/>
    <w:rsid w:val="0076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AD2B"/>
  <w15:chartTrackingRefBased/>
  <w15:docId w15:val="{D8A72B96-60F8-43D4-BBE6-A93E4E27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B6"/>
    <w:pPr>
      <w:spacing w:after="0" w:line="276" w:lineRule="auto"/>
      <w:jc w:val="both"/>
    </w:pPr>
    <w:rPr>
      <w:rFonts w:ascii="Trebuchet MS" w:eastAsia="Calibri" w:hAnsi="Trebuchet MS" w:cs="Times New Roman"/>
      <w:sz w:val="24"/>
      <w:lang w:val="en-US"/>
    </w:rPr>
  </w:style>
  <w:style w:type="paragraph" w:styleId="Heading2">
    <w:name w:val="heading 2"/>
    <w:basedOn w:val="Normal"/>
    <w:next w:val="Normal"/>
    <w:link w:val="Heading2Char"/>
    <w:uiPriority w:val="9"/>
    <w:unhideWhenUsed/>
    <w:qFormat/>
    <w:rsid w:val="006635B6"/>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5B6"/>
    <w:rPr>
      <w:rFonts w:ascii="Trebuchet MS" w:eastAsia="Times New Roman" w:hAnsi="Trebuchet MS" w:cs="Times New Roman"/>
      <w:b/>
      <w:bCs/>
      <w:iCs/>
      <w:sz w:val="24"/>
      <w:szCs w:val="28"/>
      <w:lang w:val="x-none" w:eastAsia="x-none"/>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635B6"/>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6635B6"/>
    <w:rPr>
      <w:rFonts w:ascii="Trebuchet MS" w:eastAsia="Calibri" w:hAnsi="Trebuchet MS" w:cs="Times New Roman"/>
      <w:sz w:val="24"/>
      <w:lang w:val="en-US"/>
    </w:rPr>
  </w:style>
  <w:style w:type="paragraph" w:styleId="Header">
    <w:name w:val="header"/>
    <w:basedOn w:val="Normal"/>
    <w:link w:val="HeaderChar"/>
    <w:uiPriority w:val="99"/>
    <w:unhideWhenUsed/>
    <w:rsid w:val="006635B6"/>
    <w:pPr>
      <w:tabs>
        <w:tab w:val="center" w:pos="4513"/>
        <w:tab w:val="right" w:pos="9026"/>
      </w:tabs>
      <w:spacing w:line="240" w:lineRule="auto"/>
    </w:pPr>
  </w:style>
  <w:style w:type="character" w:customStyle="1" w:styleId="HeaderChar">
    <w:name w:val="Header Char"/>
    <w:basedOn w:val="DefaultParagraphFont"/>
    <w:link w:val="Header"/>
    <w:uiPriority w:val="99"/>
    <w:rsid w:val="006635B6"/>
    <w:rPr>
      <w:rFonts w:ascii="Trebuchet MS" w:eastAsia="Calibri" w:hAnsi="Trebuchet MS" w:cs="Times New Roman"/>
      <w:sz w:val="24"/>
      <w:lang w:val="en-US"/>
    </w:rPr>
  </w:style>
  <w:style w:type="paragraph" w:styleId="Footer">
    <w:name w:val="footer"/>
    <w:basedOn w:val="Normal"/>
    <w:link w:val="FooterChar"/>
    <w:uiPriority w:val="99"/>
    <w:unhideWhenUsed/>
    <w:rsid w:val="006635B6"/>
    <w:pPr>
      <w:tabs>
        <w:tab w:val="center" w:pos="4513"/>
        <w:tab w:val="right" w:pos="9026"/>
      </w:tabs>
      <w:spacing w:line="240" w:lineRule="auto"/>
    </w:pPr>
  </w:style>
  <w:style w:type="character" w:customStyle="1" w:styleId="FooterChar">
    <w:name w:val="Footer Char"/>
    <w:basedOn w:val="DefaultParagraphFont"/>
    <w:link w:val="Footer"/>
    <w:uiPriority w:val="99"/>
    <w:rsid w:val="006635B6"/>
    <w:rPr>
      <w:rFonts w:ascii="Trebuchet MS" w:eastAsia="Calibri" w:hAnsi="Trebuchet M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cp:revision>
  <dcterms:created xsi:type="dcterms:W3CDTF">2020-05-11T07:20:00Z</dcterms:created>
  <dcterms:modified xsi:type="dcterms:W3CDTF">2020-05-11T07:34:00Z</dcterms:modified>
</cp:coreProperties>
</file>