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4A" w:rsidRDefault="0015282F">
      <w:pPr>
        <w:spacing w:line="360" w:lineRule="auto"/>
        <w:jc w:val="right"/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Anexa nr. 15</w:t>
      </w:r>
    </w:p>
    <w:p w:rsidR="00EA184A" w:rsidRDefault="0015282F">
      <w:pPr>
        <w:spacing w:line="360" w:lineRule="auto"/>
      </w:pPr>
      <w:r>
        <w:rPr>
          <w:rFonts w:ascii="Cambria" w:eastAsia="Cambria" w:hAnsi="Cambria" w:cs="Cambria"/>
          <w:b/>
          <w:i/>
          <w:sz w:val="29"/>
          <w:szCs w:val="29"/>
        </w:rPr>
        <w:t>F1 - Fișa de verificare a criteriilor de eligibilitate și de selecție locale</w:t>
      </w:r>
    </w:p>
    <w:p w:rsidR="00EA184A" w:rsidRDefault="0015282F">
      <w:pPr>
        <w:spacing w:line="60" w:lineRule="auto"/>
        <w:ind w:firstLine="493"/>
      </w:pPr>
      <w:r>
        <w:rPr>
          <w:rFonts w:ascii="Cambria" w:eastAsia="Cambria" w:hAnsi="Cambria" w:cs="Cambria"/>
          <w:sz w:val="24"/>
          <w:szCs w:val="24"/>
        </w:rPr>
        <w:t> 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Nr. autorizație GAL   </w:t>
      </w:r>
      <w:r>
        <w:rPr>
          <w:rFonts w:ascii="Cambria" w:eastAsia="Cambria" w:hAnsi="Cambria" w:cs="Cambria"/>
          <w:b/>
          <w:sz w:val="24"/>
          <w:szCs w:val="24"/>
        </w:rPr>
        <w:t>127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Denumire parteneriat/GAL   </w:t>
      </w:r>
      <w:r>
        <w:rPr>
          <w:rFonts w:ascii="Cambria" w:eastAsia="Cambria" w:hAnsi="Cambria" w:cs="Cambria"/>
          <w:b/>
          <w:sz w:val="24"/>
          <w:szCs w:val="24"/>
        </w:rPr>
        <w:t>Asociatia GAL Crisul Negru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Denumire intervenție   </w:t>
      </w:r>
      <w:r>
        <w:rPr>
          <w:rFonts w:ascii="Cambria" w:eastAsia="Cambria" w:hAnsi="Cambria" w:cs="Cambria"/>
          <w:b/>
          <w:sz w:val="24"/>
          <w:szCs w:val="24"/>
        </w:rPr>
        <w:t>Investiții în interesul comunității locale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Data de lansare a sesiunii   </w:t>
      </w:r>
      <w:r>
        <w:rPr>
          <w:rFonts w:ascii="Cambria" w:eastAsia="Cambria" w:hAnsi="Cambria" w:cs="Cambria"/>
          <w:color w:val="8F8F8F"/>
          <w:sz w:val="24"/>
          <w:szCs w:val="24"/>
        </w:rPr>
        <w:t>_ _ _ _ _ _ _ _ _ _ _ _ _ _ _ _ _ _ _ _ _ _ _ _ _ _ _ _ _ _ _ _ _ _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Denumirea proiectului   </w:t>
      </w:r>
      <w:r>
        <w:rPr>
          <w:rFonts w:ascii="Cambria" w:eastAsia="Cambria" w:hAnsi="Cambria" w:cs="Cambria"/>
          <w:color w:val="8F8F8F"/>
          <w:sz w:val="24"/>
          <w:szCs w:val="24"/>
        </w:rPr>
        <w:t>_ _ _ _ _ _ _ _ _ _ _ _ _ _ _ _ _ _ _ _ _ _ _ _ _ _ _ _ _ _ _ _ _ _ _ _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Solicitantul   </w:t>
      </w:r>
      <w:r>
        <w:rPr>
          <w:rFonts w:ascii="Cambria" w:eastAsia="Cambria" w:hAnsi="Cambria" w:cs="Cambria"/>
          <w:color w:val="8F8F8F"/>
          <w:sz w:val="24"/>
          <w:szCs w:val="24"/>
        </w:rPr>
        <w:t xml:space="preserve">_ _ _ _ _ _ _ _ _ _ _ _ _ _ _ _ _ _ _ _ _ _ _ _ </w:t>
      </w:r>
      <w:r>
        <w:rPr>
          <w:rFonts w:ascii="Cambria" w:eastAsia="Cambria" w:hAnsi="Cambria" w:cs="Cambria"/>
          <w:color w:val="8F8F8F"/>
          <w:sz w:val="24"/>
          <w:szCs w:val="24"/>
        </w:rPr>
        <w:t>_ _ _ _ _ _ _ _ _ _ _ _ _ _ _ _ _ _ _ _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Data depunerii proiectului   </w:t>
      </w:r>
      <w:r>
        <w:rPr>
          <w:rFonts w:ascii="Cambria" w:eastAsia="Cambria" w:hAnsi="Cambria" w:cs="Cambria"/>
          <w:color w:val="8F8F8F"/>
          <w:sz w:val="24"/>
          <w:szCs w:val="24"/>
        </w:rPr>
        <w:t>_ _ _ _ _ _ _ _ _ _ _ _ _ _ _ _ _ _ _ _ _ _ _ _ _ _ _ _ _ _ _ _ _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Valoarea publică nerambursabilă a proiectului   </w:t>
      </w:r>
      <w:r>
        <w:rPr>
          <w:rFonts w:ascii="Cambria" w:eastAsia="Cambria" w:hAnsi="Cambria" w:cs="Cambria"/>
          <w:color w:val="8F8F8F"/>
          <w:sz w:val="24"/>
          <w:szCs w:val="24"/>
        </w:rPr>
        <w:t>_ _ _ _ _ _ _ _ _ _ _ _ _ _ _ _ _ _ _</w:t>
      </w:r>
    </w:p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t xml:space="preserve">Valoarea totală a proiectului   </w:t>
      </w:r>
      <w:r>
        <w:rPr>
          <w:rFonts w:ascii="Cambria" w:eastAsia="Cambria" w:hAnsi="Cambria" w:cs="Cambria"/>
          <w:color w:val="8F8F8F"/>
          <w:sz w:val="24"/>
          <w:szCs w:val="24"/>
        </w:rPr>
        <w:t>_ _</w:t>
      </w:r>
      <w:r>
        <w:rPr>
          <w:rFonts w:ascii="Cambria" w:eastAsia="Cambria" w:hAnsi="Cambria" w:cs="Cambria"/>
          <w:color w:val="8F8F8F"/>
          <w:sz w:val="24"/>
          <w:szCs w:val="24"/>
        </w:rPr>
        <w:t xml:space="preserve"> _ _ _ _ _ _ _ _ _ _ _ _ _ _ _ _ _ _ _ _ _ _ _ _ _ _ _ _ _ _</w:t>
      </w:r>
    </w:p>
    <w:p w:rsidR="00EA184A" w:rsidRDefault="0015282F">
      <w:pPr>
        <w:spacing w:line="204" w:lineRule="auto"/>
        <w:ind w:firstLine="493"/>
      </w:pPr>
      <w:r>
        <w:rPr>
          <w:rFonts w:ascii="Cambria" w:eastAsia="Cambria" w:hAnsi="Cambria" w:cs="Cambria"/>
          <w:sz w:val="24"/>
          <w:szCs w:val="24"/>
        </w:rPr>
        <w:t> </w:t>
      </w:r>
    </w:p>
    <w:tbl>
      <w:tblPr>
        <w:tblStyle w:val="a"/>
        <w:tblW w:w="0" w:type="auto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EA184A"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Nr.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br/>
              <w:t>crt.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Criteriu de eligibilitate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DA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NU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Observații / Justificări</w:t>
            </w:r>
          </w:p>
        </w:tc>
      </w:tr>
      <w:tr w:rsidR="00EA184A">
        <w:trPr>
          <w:trHeight w:val="2700"/>
        </w:trPr>
        <w:tc>
          <w:tcPr>
            <w:tcW w:w="9360" w:type="dxa"/>
            <w:gridSpan w:val="5"/>
            <w:shd w:val="clear" w:color="auto" w:fill="757575"/>
            <w:vAlign w:val="center"/>
          </w:tcPr>
          <w:p w:rsidR="00EA184A" w:rsidRDefault="0015282F">
            <w:pPr>
              <w:ind w:left="197" w:right="197" w:firstLine="493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Dacă sunt îndeplinite toate condițiile de mai jos, se va bifa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 </w:t>
            </w:r>
            <w:proofErr w:type="gramStart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DA  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în</w:t>
            </w:r>
            <w:proofErr w:type="gramEnd"/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 fișa de verificare a criteriilor de eligibilitate. În cazul în care sunt identificate neconcordanțe, se va solicita remedierea situației conform cerințelor din Ghidul Solicitantului. În cazul în care solicitantul nu remediază neconcordanța semnalată, se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 va </w:t>
            </w:r>
            <w:proofErr w:type="gramStart"/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bifa 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 NU</w:t>
            </w:r>
            <w:proofErr w:type="gramEnd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  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ș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i se va menționa acest aspect la rubrica, alături de justificarea privind neîndeplinirea criteriului. În cazul în care situația este remediată, la </w:t>
            </w:r>
            <w:proofErr w:type="gramStart"/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rubrica 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 Observații</w:t>
            </w:r>
            <w:proofErr w:type="gramEnd"/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  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se va specifica mențiunea 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 Criteriul este îndeplinit ca urmare a răspunsu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lui la solicitarea de clarificări  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ș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 xml:space="preserve">i se va bifa 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 DA</w:t>
            </w: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.</w:t>
            </w: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EG 1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 xml:space="preserve">Proiectul trebuie să urmărească un impact pozitiv pe termen lung asupra comunității, promovând dezvoltarea durabilă 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Se evaluează obiectivele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proiectului și rezultatele estimate din cererea de finanțare.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analizează contribuția la obiectivele de dezvoltare durabilă (economică, socială, de mediu).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verifică sustenabilitatea proiectului din punct de vedere al men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inerii rezultatelor pe termen lung (ex. planuri de mentenanță, implicarea comunității, etc.).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Formular cerere de finanțare/MJ/SF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/PT/DALI completat (cu secțiuni privind rezultatele pe termen lung).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lastRenderedPageBreak/>
              <w:t>EG 2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 xml:space="preserve">Proiectul trebuie să fie în concordanță cu strategia de dezvoltare locală a UAT-ului 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2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3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Compararea obiectivelor și activităților proiectului cu prioritățile și nevoile identificate în SDL-ul local.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Solicitarea unei poziții oficiale din partea UAT-ului sau consultarea directă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SDL.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- Extras din SDL local care susține direcția proiectului.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EG 3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Proiectul include o componentă suplimentară care cuprinde cel puțin o acțiune d</w:t>
            </w:r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 xml:space="preserve">e dezvoltare comunitară sau de mediu. 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4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5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Solicitantul trebuie să asume în mod clar, realist și măsurabil o activitate cu impact pozitiv asupra comunității din comuna unde este localizată investiția.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Activitatea trebuie: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să fie detaliată în documentația depusa (MJ/SF/PT/DALI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) ca activitate distinctă;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să fie desfășurată pe durata implementării proiectului;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să implice cel puțin o categorie de beneficiari locali (copii, tineri, seniori, familii, artizani, elevi etc.).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xemple de obiective și activități eligibile: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Turism ecologic, natură și biodiversitate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Organizarea de trasee educative tematice pentru elevii din comună, cu panouri despre elemente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specifice de flora și fauna protejate din comuna în care se înființeaz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ă afacerea;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Implicarea solicitantului în întreținerea unei zone naturale de interes local (pajiște, izvor, traseu);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 Organizarea de vizite gratuite ghidate pentru copii sau seniori din comună în zone naturale protejate.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2. Meșteșuguri tradiționale și ar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tizanat local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Organizarea de ateliere gratuite de artizanat pentru copii sau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tineri, inspirate din simbolurile locale;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Donarea de obiecte artizanale decorative (plăcuțe, bănci pictate, mobilier de lemn) către școală, cămin cultural sau campanie de adunare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obiectelor artizanale și amplasarea acestora în spații publice din comună (în cazul solicitanților APL);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Restaura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rea simbolică a unui obiect de patrimoniu rural minor (troiță, poartă, fântână etc.) cu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implicarea tinerilor din localitate.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3.Educație ecologică și activare comunitară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Derularea de workshopuri despre protecția naturii sau turism responsabil în școlile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 comună;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Organizarea unei campanii de curățenie comunitară în parteneriatcu primăria, cu participarea localnicilor;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Crearea unui punct de colectare și reciclare a deșeurilor textile, electrice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sau plastice, cu scop educativ și ecologic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4. Promovarea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patrimoniului și identității locale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Sponsorizarea/Organizarea unei expoziții foto sau de pictură cu tema relevantă la nivel local, cu lucrări realizate de elevi;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Organizarea unei seri de povești locale sau a unui teatru de sat, implicând vârstnici și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ineri în punerea în scenă;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Recomandări pentru solicitanți: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Activitatea propusă trebuie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să aibă legătură cu domeniul de activitate al proiectului (nu doar sponsorizare generică);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Implicarea solicitantului trebuie să fie activă și vizibilă (organizare, 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acilitare, coordonare)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recomandă parteneriate cu școli, ONG-uri locale, afaceri locale sau biserici – demonstrate prin scrisori de susținere.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analizează activitățile proiectului pentr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u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identifica acțiunea de dezvoltar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comunitară sau de mediu inclusă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-Se verifică relevanța și caracterul suplimentar al acțiunii (nu trebuie să fie activitatea principală a proiectului).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MJ/SF/PT/DALI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lastRenderedPageBreak/>
              <w:t>EG 4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 xml:space="preserve">În cazul parteneriatelor, acestea vor fi formate din cel puțin 2 entități relevante pentru domeniul proiectului (administrații publicelocale, ONG-uri, unități de învățământ și alte entități relevante pentru proiect). 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7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evaluează componența parteneriatului în acordul de parteneriat depus.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verifică relevanța fiecărui partener în raport cu domeniul proiectului.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verifică documentele doveditoare privind personalitatea juridică și acti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vitatea partenerilor.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Acord de parteneriat semnat de toate părțile.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- Documente de înființare ale partenerilor (statut, certificat de înregistrare).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lastRenderedPageBreak/>
              <w:t xml:space="preserve">EG 5  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Solicitantul trebuie să se încadreze în categoria beneficiarilor eligibili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8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9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 vor respecta condițiile referitoare la eligibilitatea solicitantului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conform 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EG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 din capitolul ”Condiții generale de eligibilitate”.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EG 6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 xml:space="preserve">Implementarea proiectului pe teritoriul GAL  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a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b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Se vor respecta condițiile referitoare la amplasarea proiectului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conform 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EG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2 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din capitolul ”Condiții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generale de eligibilitate”.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EG 7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Investiția trebuie să se încadreze în cel puțin unul din domeniile sprijinite prin intervenție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c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d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Metodologia de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verificare:Se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verifică dacă proiectul propus se încadrează în tipurile de acțiuni eligibile, conform Fișei intervenției din SDLDocumente obligatorii:MJ/SF/PT/DALI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EG 8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 xml:space="preserve">Solicitantul trebuie să facă dovada proprietății/administrării terenului/bunului pe care se realizează investiția  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e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Se vor respecta condițiile referitoare la dovada proprietății/administrării terenului/bunului pe care se realizează investiția conform EG 2 din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capitolul ”Condiții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generale de eligibilitate”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rPr>
          <w:trHeight w:val="540"/>
        </w:trPr>
        <w:tc>
          <w:tcPr>
            <w:tcW w:w="1872" w:type="dxa"/>
            <w:vMerge w:val="restart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EG 9</w:t>
            </w:r>
          </w:p>
        </w:tc>
        <w:tc>
          <w:tcPr>
            <w:tcW w:w="1872" w:type="dxa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1B4167"/>
                <w:sz w:val="24"/>
                <w:szCs w:val="24"/>
              </w:rPr>
              <w:t>Populația care beneficiază de proiect în cadrul prezentei intervenții.</w:t>
            </w:r>
          </w:p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0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1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1872" w:type="dxa"/>
            <w:vMerge w:val="restart"/>
          </w:tcPr>
          <w:p w:rsidR="00EA184A" w:rsidRDefault="00EA184A"/>
        </w:tc>
      </w:tr>
      <w:tr w:rsidR="00EA184A"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Se verifică dacă solicitantul a menționat în MJ/SF/PT/DALI populația care beneficiază de proiect.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MJ/SF/PT/DALI</w:t>
            </w: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2" w:type="dxa"/>
            <w:vMerge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184A"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EG AFIR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Proiectul respectă criteriile de eligibilitate generale verificate în baza formularului de verificare specific din procedura AFIR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2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 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3"/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2"/>
            </w:tblGrid>
            <w:tr w:rsidR="00EA184A">
              <w:trPr>
                <w:trHeight w:val="420"/>
                <w:jc w:val="center"/>
              </w:trPr>
              <w:tc>
                <w:tcPr>
                  <w:tcW w:w="1672" w:type="dxa"/>
                  <w:shd w:val="clear" w:color="auto" w:fill="DDDDDD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 </w:t>
            </w:r>
          </w:p>
        </w:tc>
        <w:tc>
          <w:tcPr>
            <w:tcW w:w="1872" w:type="dxa"/>
            <w:shd w:val="clear" w:color="auto" w:fill="214F7D"/>
            <w:vAlign w:val="center"/>
          </w:tcPr>
          <w:p w:rsidR="00EA184A" w:rsidRDefault="00EA184A"/>
        </w:tc>
      </w:tr>
    </w:tbl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br/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Observații</w:t>
      </w:r>
      <w:r>
        <w:rPr>
          <w:rFonts w:ascii="Cambria" w:eastAsia="Cambria" w:hAnsi="Cambria" w:cs="Cambria"/>
          <w:sz w:val="24"/>
          <w:szCs w:val="24"/>
        </w:rPr>
        <w:t xml:space="preserve">  (</w:t>
      </w:r>
      <w:proofErr w:type="gramEnd"/>
      <w:r>
        <w:rPr>
          <w:rFonts w:ascii="Cambria" w:eastAsia="Cambria" w:hAnsi="Cambria" w:cs="Cambria"/>
          <w:sz w:val="24"/>
          <w:szCs w:val="24"/>
        </w:rPr>
        <w:t>opțional)</w:t>
      </w:r>
    </w:p>
    <w:tbl>
      <w:tblPr>
        <w:tblStyle w:val="af4"/>
        <w:tblW w:w="0" w:type="auto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A184A">
        <w:trPr>
          <w:trHeight w:val="540"/>
        </w:trPr>
        <w:tc>
          <w:tcPr>
            <w:tcW w:w="9360" w:type="dxa"/>
            <w:vAlign w:val="center"/>
          </w:tcPr>
          <w:p w:rsidR="00EA184A" w:rsidRDefault="00EA184A"/>
        </w:tc>
      </w:tr>
    </w:tbl>
    <w:p w:rsidR="00EA184A" w:rsidRDefault="00EA184A"/>
    <w:tbl>
      <w:tblPr>
        <w:tblStyle w:val="af5"/>
        <w:tblW w:w="0" w:type="auto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A184A">
        <w:trPr>
          <w:trHeight w:val="720"/>
        </w:trPr>
        <w:tc>
          <w:tcPr>
            <w:tcW w:w="2340" w:type="dxa"/>
            <w:vAlign w:val="center"/>
          </w:tcPr>
          <w:p w:rsidR="00EA184A" w:rsidRDefault="0015282F">
            <w:pPr>
              <w:keepNext/>
              <w:jc w:val="right"/>
            </w:pPr>
            <w:r>
              <w:rPr>
                <w:rFonts w:ascii="Cambria" w:eastAsia="Cambria" w:hAnsi="Cambria" w:cs="Cambria"/>
                <w:b/>
                <w:sz w:val="29"/>
                <w:szCs w:val="29"/>
              </w:rPr>
              <w:lastRenderedPageBreak/>
              <w:t>ELIGIBIL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 </w:t>
            </w:r>
          </w:p>
        </w:tc>
        <w:tc>
          <w:tcPr>
            <w:tcW w:w="2340" w:type="dxa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6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0"/>
            </w:tblGrid>
            <w:tr w:rsidR="00EA184A">
              <w:trPr>
                <w:trHeight w:val="420"/>
              </w:trPr>
              <w:tc>
                <w:tcPr>
                  <w:tcW w:w="2140" w:type="dxa"/>
                  <w:shd w:val="clear" w:color="auto" w:fill="D4DFE9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  <w:tc>
          <w:tcPr>
            <w:tcW w:w="2340" w:type="dxa"/>
            <w:vAlign w:val="center"/>
          </w:tcPr>
          <w:p w:rsidR="00EA184A" w:rsidRDefault="0015282F">
            <w:pPr>
              <w:keepNext/>
              <w:jc w:val="right"/>
            </w:pPr>
            <w:r>
              <w:rPr>
                <w:rFonts w:ascii="Cambria" w:eastAsia="Cambria" w:hAnsi="Cambria" w:cs="Cambria"/>
                <w:b/>
                <w:sz w:val="29"/>
                <w:szCs w:val="29"/>
              </w:rPr>
              <w:t>NEELIGIBIL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 </w:t>
            </w:r>
          </w:p>
        </w:tc>
        <w:tc>
          <w:tcPr>
            <w:tcW w:w="2340" w:type="dxa"/>
            <w:vAlign w:val="center"/>
          </w:tcPr>
          <w:p w:rsidR="00EA184A" w:rsidRDefault="00EA1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7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0"/>
            </w:tblGrid>
            <w:tr w:rsidR="00EA184A">
              <w:trPr>
                <w:trHeight w:val="420"/>
              </w:trPr>
              <w:tc>
                <w:tcPr>
                  <w:tcW w:w="2140" w:type="dxa"/>
                  <w:shd w:val="clear" w:color="auto" w:fill="D4DFE9"/>
                  <w:vAlign w:val="center"/>
                </w:tcPr>
                <w:p w:rsidR="00EA184A" w:rsidRDefault="0015282F">
                  <w:pPr>
                    <w:keepNext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A184A" w:rsidRDefault="00EA184A"/>
        </w:tc>
      </w:tr>
    </w:tbl>
    <w:p w:rsidR="00EA184A" w:rsidRDefault="0015282F">
      <w:pPr>
        <w:spacing w:line="360" w:lineRule="auto"/>
        <w:ind w:firstLine="493"/>
      </w:pPr>
      <w:r>
        <w:rPr>
          <w:rFonts w:ascii="Cambria" w:eastAsia="Cambria" w:hAnsi="Cambria" w:cs="Cambria"/>
          <w:sz w:val="24"/>
          <w:szCs w:val="24"/>
        </w:rPr>
        <w:br/>
      </w:r>
    </w:p>
    <w:tbl>
      <w:tblPr>
        <w:tblStyle w:val="af8"/>
        <w:tblW w:w="0" w:type="auto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EA184A"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Nr.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br/>
              <w:t>crt.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Principii și criterii de selecție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Punctaj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br/>
              <w:t>maxim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Punctaj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br/>
              <w:t>obținut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Justificare</w:t>
            </w:r>
          </w:p>
        </w:tc>
      </w:tr>
      <w:tr w:rsidR="00EA184A">
        <w:trPr>
          <w:trHeight w:val="450"/>
        </w:trPr>
        <w:tc>
          <w:tcPr>
            <w:tcW w:w="9360" w:type="dxa"/>
            <w:gridSpan w:val="5"/>
            <w:shd w:val="clear" w:color="auto" w:fill="757575"/>
            <w:vAlign w:val="center"/>
          </w:tcPr>
          <w:p w:rsidR="00EA184A" w:rsidRDefault="0015282F">
            <w:pPr>
              <w:ind w:left="197" w:right="197" w:firstLine="493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Pentru fiecare criteriu de selecție este necesară justificarea acordării punctajului</w:t>
            </w:r>
          </w:p>
        </w:tc>
      </w:tr>
      <w:tr w:rsidR="00EA184A">
        <w:trPr>
          <w:trHeight w:val="540"/>
        </w:trPr>
        <w:tc>
          <w:tcPr>
            <w:tcW w:w="3744" w:type="dxa"/>
            <w:gridSpan w:val="2"/>
            <w:shd w:val="clear" w:color="auto" w:fill="CCE1DB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014935"/>
                <w:sz w:val="24"/>
                <w:szCs w:val="24"/>
              </w:rPr>
              <w:t xml:space="preserve">1   </w:t>
            </w: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Principiul deservirii populației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CS1.1 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>Proiectul deservește o populație între 4.000 – 1.000 locuitori</w:t>
            </w:r>
          </w:p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identifică UAT-ul/localitatea în care se implementează proiectul (menționat în cererea de finanțare).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consultă datele oficiale ale Recensământului Populației și Locuințelor 2021 (rezultate finale).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încadrează comuna în intervalul corespunzător și se acordă punctajul aferent.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În cazul proiectelor care deservesc mai multe comune, se însumează pop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ulația totală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acestora.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MJ/SF/PT/DALI</w:t>
            </w:r>
          </w:p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 </w:t>
            </w:r>
          </w:p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>CS1.2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Proiectul deservește o populație până la 1.000 locuitori </w:t>
            </w:r>
          </w:p>
        </w:tc>
        <w:tc>
          <w:tcPr>
            <w:tcW w:w="1872" w:type="dxa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- Se identifică UAT-ul/localitatea în care se implementează proiectul (menționat în cererea de finanțare).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consultă datele oficiale ale Recensământului Populației și Locuințelor 2021 (rezultate finale).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încadrează comuna în intervalul corespunzăt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or și se acordă punctajul aferent.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În cazul proiectelor care deservesc mai multe comune, se însumează populația totală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acestora.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MJ/SF/PT/DALI</w:t>
            </w:r>
          </w:p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 </w:t>
            </w:r>
          </w:p>
        </w:tc>
      </w:tr>
      <w:tr w:rsidR="00EA184A">
        <w:trPr>
          <w:trHeight w:val="540"/>
        </w:trPr>
        <w:tc>
          <w:tcPr>
            <w:tcW w:w="3744" w:type="dxa"/>
            <w:gridSpan w:val="2"/>
            <w:shd w:val="clear" w:color="auto" w:fill="CCE1DB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014935"/>
                <w:sz w:val="24"/>
                <w:szCs w:val="24"/>
              </w:rPr>
              <w:t xml:space="preserve">2   </w:t>
            </w: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Principiul prioritizării proiectelor în educație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CS2.1 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>Proiectul include o componentă educativă clară, adresată cel puțin unei categorii de beneficiari locali (elevi, tineri, adulți etc.), cu scop de formare, conștientizare sau dezvoltare de competențe.</w:t>
            </w:r>
          </w:p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Se analizează activitățile proiectului pentru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identifica o componentă educativă clar delimitată;</w:t>
            </w:r>
          </w:p>
          <w:p w:rsidR="00EA184A" w:rsidRDefault="001528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Se verifică relevanța și caracterul suplimentar al acțiunii (nu este activitatea principală a proiectului);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MJ/SF/PT/DALI</w:t>
            </w:r>
          </w:p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 </w:t>
            </w:r>
          </w:p>
        </w:tc>
      </w:tr>
      <w:tr w:rsidR="00EA184A">
        <w:trPr>
          <w:trHeight w:val="540"/>
        </w:trPr>
        <w:tc>
          <w:tcPr>
            <w:tcW w:w="3744" w:type="dxa"/>
            <w:gridSpan w:val="2"/>
            <w:shd w:val="clear" w:color="auto" w:fill="CCE1DB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014935"/>
                <w:sz w:val="24"/>
                <w:szCs w:val="24"/>
              </w:rPr>
              <w:t xml:space="preserve">3   </w:t>
            </w: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Principiul parteneriatului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CS3.1 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Proiectul este implementat în parteneriat între cel puțin trei entități relevante pentru domeniul proiectului (administrații publice locale, ONGuri, unități de învățământ și alte entități relevante pentru proiect). </w:t>
            </w:r>
          </w:p>
        </w:tc>
        <w:tc>
          <w:tcPr>
            <w:tcW w:w="1872" w:type="dxa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verifică existența unui acord de parteneriat.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confirmă relevanța ambelor entități pentru domeniul proiectului.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Acord de parteneriat semnat.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Documente de înregistrare juridică ale partenerilor/documente statutare/acte de înființare</w:t>
            </w:r>
          </w:p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 </w:t>
            </w:r>
          </w:p>
        </w:tc>
      </w:tr>
      <w:tr w:rsidR="00EA184A">
        <w:trPr>
          <w:trHeight w:val="540"/>
        </w:trPr>
        <w:tc>
          <w:tcPr>
            <w:tcW w:w="3744" w:type="dxa"/>
            <w:gridSpan w:val="2"/>
            <w:shd w:val="clear" w:color="auto" w:fill="CCE1DB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014935"/>
                <w:sz w:val="24"/>
                <w:szCs w:val="24"/>
              </w:rPr>
              <w:t xml:space="preserve">4   </w:t>
            </w: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Principiul eco-eficienței și a practicilor sustenabile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CS4.1 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Criteriul prioritizării proiectelorcare propun spre finanțare activități ce </w:t>
            </w:r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lastRenderedPageBreak/>
              <w:t xml:space="preserve">vizează eco- eficiența și practicile sustenabile. </w:t>
            </w:r>
          </w:p>
        </w:tc>
        <w:tc>
          <w:tcPr>
            <w:tcW w:w="1872" w:type="dxa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Exemple de practici vizate (enumerare orientativă, nu limitativă):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utilizarea materialelor reciclabile sau biodegradabile în procesul de construcție;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reducerea consumului de energie prin utilizarea echipamentelor eficiente energetic (ex. clase A+++, pompe de căldură, panouri solare, LED-uri etc.);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implementarea de 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ehnologii cu emisii reduse sau nepoluante (ex. mașini electrice, sisteme de filtrare, procese fără substanțe toxice);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gestionarea durabilă a resurselor naturale (apă, sol, lemn, energie solară);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activități educaționale sau de conștientizare privind sus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tenabilitatea (ateliere etc.).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Proiectul trebuie să demonstreze în mod clar că promovează sau integrează cel puțin una dintre următoarele abordări: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Eco-eficiență – prin soluții care optimizează utilizarea resurselor și reduc im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pactul asupra mediului;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Tehnologii verzi sau nepoluante – prin alegerea unor echipamente sau metode de lucru sustenabile;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MJ/SF/PT/DALI</w:t>
            </w:r>
          </w:p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 </w:t>
            </w:r>
          </w:p>
        </w:tc>
      </w:tr>
      <w:tr w:rsidR="00EA184A">
        <w:trPr>
          <w:trHeight w:val="540"/>
        </w:trPr>
        <w:tc>
          <w:tcPr>
            <w:tcW w:w="3744" w:type="dxa"/>
            <w:gridSpan w:val="2"/>
            <w:shd w:val="clear" w:color="auto" w:fill="CCE1DB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014935"/>
                <w:sz w:val="24"/>
                <w:szCs w:val="24"/>
              </w:rPr>
              <w:t xml:space="preserve">5   </w:t>
            </w: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Principiul acțiunilor din strategia smart village a comunei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color w:val="014935"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  <w:tc>
          <w:tcPr>
            <w:tcW w:w="1872" w:type="dxa"/>
            <w:shd w:val="clear" w:color="auto" w:fill="CCE1DB"/>
            <w:vAlign w:val="center"/>
          </w:tcPr>
          <w:p w:rsidR="00EA184A" w:rsidRDefault="00EA184A"/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CS5.1 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Proiectul face parte dintr-un set de acțiuni prevăzute în Strategia Smart Village a comunei </w:t>
            </w:r>
          </w:p>
        </w:tc>
        <w:tc>
          <w:tcPr>
            <w:tcW w:w="1872" w:type="dxa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Metodologie de verificare: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- Se verifică dacă proiectul este menționat explicit sau corespunde unei acțiuni prevăzute în Strategia Smart Village a comunei/localității în care se implementează.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Se consultă strategia Smart Village aprobată, în vigoare la momentul depunerii proiectul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ui.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Documente obligatorii: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Extras din Strategia Smart Village în care este menționată acțiunea.</w:t>
            </w:r>
          </w:p>
          <w:p w:rsidR="00EA184A" w:rsidRDefault="0015282F">
            <w:pPr>
              <w:spacing w:line="360" w:lineRule="auto"/>
              <w:ind w:firstLine="493"/>
            </w:pPr>
            <w:r>
              <w:rPr>
                <w:rFonts w:ascii="Cambria" w:eastAsia="Cambria" w:hAnsi="Cambria" w:cs="Cambria"/>
                <w:sz w:val="24"/>
                <w:szCs w:val="24"/>
              </w:rPr>
              <w:t>- MJ/SF/PT/DALI</w:t>
            </w:r>
          </w:p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 </w:t>
            </w:r>
          </w:p>
        </w:tc>
      </w:tr>
      <w:tr w:rsidR="00EA184A">
        <w:trPr>
          <w:trHeight w:val="479"/>
        </w:trPr>
        <w:tc>
          <w:tcPr>
            <w:tcW w:w="3744" w:type="dxa"/>
            <w:gridSpan w:val="2"/>
            <w:shd w:val="clear" w:color="auto" w:fill="B3C6D9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PRAG DE CALITATE</w:t>
            </w:r>
          </w:p>
        </w:tc>
        <w:tc>
          <w:tcPr>
            <w:tcW w:w="5616" w:type="dxa"/>
            <w:gridSpan w:val="3"/>
            <w:shd w:val="clear" w:color="auto" w:fill="B3C6D9"/>
            <w:vAlign w:val="center"/>
          </w:tcPr>
          <w:p w:rsidR="00EA184A" w:rsidRDefault="0015282F">
            <w:pPr>
              <w:rPr>
                <w:b/>
              </w:rPr>
            </w:pPr>
            <w:r>
              <w:rPr>
                <w:b/>
              </w:rPr>
              <w:t>10 puncte</w:t>
            </w:r>
          </w:p>
        </w:tc>
      </w:tr>
      <w:tr w:rsidR="00EA184A">
        <w:trPr>
          <w:trHeight w:val="479"/>
        </w:trPr>
        <w:tc>
          <w:tcPr>
            <w:tcW w:w="3744" w:type="dxa"/>
            <w:gridSpan w:val="2"/>
            <w:shd w:val="clear" w:color="auto" w:fill="B3C6D9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TOTAL PUNCTAJ OBȚINUT</w:t>
            </w:r>
          </w:p>
        </w:tc>
        <w:tc>
          <w:tcPr>
            <w:tcW w:w="5616" w:type="dxa"/>
            <w:gridSpan w:val="3"/>
            <w:shd w:val="clear" w:color="auto" w:fill="B3C6D9"/>
            <w:vAlign w:val="center"/>
          </w:tcPr>
          <w:p w:rsidR="00EA184A" w:rsidRDefault="00EA184A"/>
        </w:tc>
      </w:tr>
    </w:tbl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br/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Observații</w:t>
      </w:r>
      <w:r>
        <w:rPr>
          <w:rFonts w:ascii="Cambria" w:eastAsia="Cambria" w:hAnsi="Cambria" w:cs="Cambria"/>
          <w:sz w:val="24"/>
          <w:szCs w:val="24"/>
        </w:rPr>
        <w:t xml:space="preserve">  (</w:t>
      </w:r>
      <w:proofErr w:type="gramEnd"/>
      <w:r>
        <w:rPr>
          <w:rFonts w:ascii="Cambria" w:eastAsia="Cambria" w:hAnsi="Cambria" w:cs="Cambria"/>
          <w:sz w:val="24"/>
          <w:szCs w:val="24"/>
        </w:rPr>
        <w:t>opțional)</w:t>
      </w:r>
    </w:p>
    <w:tbl>
      <w:tblPr>
        <w:tblStyle w:val="af9"/>
        <w:tblW w:w="0" w:type="auto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A184A">
        <w:trPr>
          <w:trHeight w:val="540"/>
        </w:trPr>
        <w:tc>
          <w:tcPr>
            <w:tcW w:w="9360" w:type="dxa"/>
            <w:vAlign w:val="center"/>
          </w:tcPr>
          <w:p w:rsidR="00EA184A" w:rsidRDefault="00EA184A"/>
        </w:tc>
      </w:tr>
    </w:tbl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 xml:space="preserve">Justificarea criteriilor de departajare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aplicate</w:t>
      </w:r>
      <w:r>
        <w:rPr>
          <w:rFonts w:ascii="Cambria" w:eastAsia="Cambria" w:hAnsi="Cambria" w:cs="Cambria"/>
          <w:sz w:val="24"/>
          <w:szCs w:val="24"/>
        </w:rPr>
        <w:t xml:space="preserve">  (</w:t>
      </w:r>
      <w:proofErr w:type="gramEnd"/>
      <w:r>
        <w:rPr>
          <w:rFonts w:ascii="Cambria" w:eastAsia="Cambria" w:hAnsi="Cambria" w:cs="Cambria"/>
          <w:sz w:val="24"/>
          <w:szCs w:val="24"/>
        </w:rPr>
        <w:t>dacă este cazul)</w:t>
      </w:r>
    </w:p>
    <w:tbl>
      <w:tblPr>
        <w:tblStyle w:val="afa"/>
        <w:tblW w:w="0" w:type="auto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EA184A"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Nr.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br/>
              <w:t>crt.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Criterii de departajare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Punctaj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Punctaj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br/>
              <w:t>obținut</w:t>
            </w:r>
          </w:p>
        </w:tc>
        <w:tc>
          <w:tcPr>
            <w:tcW w:w="1872" w:type="dxa"/>
            <w:shd w:val="clear" w:color="auto" w:fill="015840"/>
            <w:vAlign w:val="center"/>
          </w:tcPr>
          <w:p w:rsidR="00EA184A" w:rsidRDefault="0015282F">
            <w:pPr>
              <w:keepNext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Justificare</w:t>
            </w:r>
          </w:p>
        </w:tc>
      </w:tr>
      <w:tr w:rsidR="00EA184A">
        <w:trPr>
          <w:trHeight w:val="450"/>
        </w:trPr>
        <w:tc>
          <w:tcPr>
            <w:tcW w:w="9360" w:type="dxa"/>
            <w:gridSpan w:val="5"/>
            <w:shd w:val="clear" w:color="auto" w:fill="757575"/>
            <w:vAlign w:val="center"/>
          </w:tcPr>
          <w:p w:rsidR="00EA184A" w:rsidRDefault="0015282F">
            <w:pPr>
              <w:ind w:left="197" w:right="197" w:firstLine="493"/>
              <w:jc w:val="center"/>
            </w:pPr>
            <w:r>
              <w:rPr>
                <w:rFonts w:ascii="Cambria" w:eastAsia="Cambria" w:hAnsi="Cambria" w:cs="Cambria"/>
                <w:color w:val="FFFFFF"/>
                <w:sz w:val="24"/>
                <w:szCs w:val="24"/>
              </w:rPr>
              <w:t>Pentru fiecare criteriu de departajare este necesară justificarea acordării punctajului</w:t>
            </w:r>
          </w:p>
        </w:tc>
      </w:tr>
      <w:tr w:rsidR="00EA184A"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CD1 </w:t>
            </w:r>
          </w:p>
        </w:tc>
        <w:tc>
          <w:tcPr>
            <w:tcW w:w="1872" w:type="dxa"/>
            <w:shd w:val="clear" w:color="auto" w:fill="F8ECD2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color w:val="58400C"/>
                <w:sz w:val="24"/>
                <w:szCs w:val="24"/>
              </w:rPr>
              <w:t xml:space="preserve">Proiectul deservește direct unnumărcât mai mare de persoanedin comunitate. Vor fi prioritizateproiectele care deservesc opopulație mai numeroasă. </w:t>
            </w:r>
          </w:p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  <w:tc>
          <w:tcPr>
            <w:tcW w:w="1872" w:type="dxa"/>
            <w:vAlign w:val="center"/>
          </w:tcPr>
          <w:p w:rsidR="00EA184A" w:rsidRDefault="00EA184A"/>
        </w:tc>
      </w:tr>
      <w:tr w:rsidR="00EA184A">
        <w:tc>
          <w:tcPr>
            <w:tcW w:w="9360" w:type="dxa"/>
            <w:gridSpan w:val="5"/>
            <w:shd w:val="clear" w:color="auto" w:fill="DDDDDD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Conform CS1.1 </w:t>
            </w:r>
          </w:p>
        </w:tc>
      </w:tr>
      <w:tr w:rsidR="00EA184A">
        <w:trPr>
          <w:trHeight w:val="360"/>
        </w:trPr>
        <w:tc>
          <w:tcPr>
            <w:tcW w:w="9360" w:type="dxa"/>
            <w:gridSpan w:val="5"/>
            <w:vAlign w:val="center"/>
          </w:tcPr>
          <w:p w:rsidR="00EA184A" w:rsidRDefault="0015282F">
            <w:r>
              <w:rPr>
                <w:rFonts w:ascii="Cambria" w:eastAsia="Cambria" w:hAnsi="Cambria" w:cs="Cambria"/>
                <w:sz w:val="24"/>
                <w:szCs w:val="24"/>
              </w:rPr>
              <w:t> </w:t>
            </w:r>
          </w:p>
        </w:tc>
      </w:tr>
    </w:tbl>
    <w:p w:rsidR="00EA184A" w:rsidRDefault="0015282F">
      <w:pPr>
        <w:spacing w:line="264" w:lineRule="auto"/>
      </w:pPr>
      <w:r>
        <w:rPr>
          <w:rFonts w:ascii="Cambria" w:eastAsia="Cambria" w:hAnsi="Cambria" w:cs="Cambria"/>
          <w:sz w:val="24"/>
          <w:szCs w:val="24"/>
        </w:rPr>
        <w:lastRenderedPageBreak/>
        <w:br/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Observații</w:t>
      </w:r>
      <w:r>
        <w:rPr>
          <w:rFonts w:ascii="Cambria" w:eastAsia="Cambria" w:hAnsi="Cambria" w:cs="Cambria"/>
          <w:sz w:val="24"/>
          <w:szCs w:val="24"/>
        </w:rPr>
        <w:t xml:space="preserve">  (</w:t>
      </w:r>
      <w:proofErr w:type="gramEnd"/>
      <w:r>
        <w:rPr>
          <w:rFonts w:ascii="Cambria" w:eastAsia="Cambria" w:hAnsi="Cambria" w:cs="Cambria"/>
          <w:sz w:val="24"/>
          <w:szCs w:val="24"/>
        </w:rPr>
        <w:t>opțional)</w:t>
      </w:r>
    </w:p>
    <w:tbl>
      <w:tblPr>
        <w:tblStyle w:val="afb"/>
        <w:tblW w:w="0" w:type="auto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A184A">
        <w:trPr>
          <w:trHeight w:val="540"/>
        </w:trPr>
        <w:tc>
          <w:tcPr>
            <w:tcW w:w="9360" w:type="dxa"/>
            <w:vAlign w:val="center"/>
          </w:tcPr>
          <w:p w:rsidR="00EA184A" w:rsidRDefault="00EA184A"/>
        </w:tc>
      </w:tr>
    </w:tbl>
    <w:p w:rsidR="00EA184A" w:rsidRDefault="00EA184A"/>
    <w:tbl>
      <w:tblPr>
        <w:tblStyle w:val="afc"/>
        <w:tblW w:w="0" w:type="auto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A184A">
        <w:trPr>
          <w:trHeight w:val="1080"/>
        </w:trPr>
        <w:tc>
          <w:tcPr>
            <w:tcW w:w="9360" w:type="dxa"/>
            <w:gridSpan w:val="2"/>
            <w:vAlign w:val="bottom"/>
          </w:tcPr>
          <w:p w:rsidR="00EA184A" w:rsidRDefault="0015282F">
            <w:pPr>
              <w:keepNext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Verificat,</w:t>
            </w:r>
          </w:p>
        </w:tc>
      </w:tr>
      <w:tr w:rsidR="00EA184A">
        <w:trPr>
          <w:trHeight w:val="479"/>
        </w:trPr>
        <w:tc>
          <w:tcPr>
            <w:tcW w:w="4680" w:type="dxa"/>
            <w:vAlign w:val="center"/>
          </w:tcPr>
          <w:p w:rsidR="00EA184A" w:rsidRDefault="0015282F">
            <w:pPr>
              <w:keepNext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Evaluator 1 GAL _ _ _ _ _ _ _ _ _ _ _ _ _ _ _ _ _</w:t>
            </w:r>
          </w:p>
        </w:tc>
        <w:tc>
          <w:tcPr>
            <w:tcW w:w="4680" w:type="dxa"/>
            <w:vAlign w:val="center"/>
          </w:tcPr>
          <w:p w:rsidR="00EA184A" w:rsidRDefault="0015282F">
            <w:pPr>
              <w:keepNext/>
              <w:jc w:val="right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Semnătura și data _ _ _ _ _ _ _ _ _ _ _ _ _ _ _ _ _</w:t>
            </w:r>
          </w:p>
        </w:tc>
      </w:tr>
      <w:tr w:rsidR="00EA184A">
        <w:trPr>
          <w:trHeight w:val="479"/>
        </w:trPr>
        <w:tc>
          <w:tcPr>
            <w:tcW w:w="4680" w:type="dxa"/>
            <w:vAlign w:val="center"/>
          </w:tcPr>
          <w:p w:rsidR="00EA184A" w:rsidRDefault="0015282F">
            <w:pPr>
              <w:keepNext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Evaluator 2 GAL _ _ _ _ _ _ _ _ _ _ _ _ _ _ _ _ _</w:t>
            </w:r>
          </w:p>
        </w:tc>
        <w:tc>
          <w:tcPr>
            <w:tcW w:w="4680" w:type="dxa"/>
            <w:vAlign w:val="center"/>
          </w:tcPr>
          <w:p w:rsidR="00EA184A" w:rsidRDefault="0015282F">
            <w:pPr>
              <w:keepNext/>
              <w:jc w:val="right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Semnătura și data _ _ _ _ _ _ _ _ _ _ _ _ _ _ _ _ _</w:t>
            </w:r>
          </w:p>
        </w:tc>
      </w:tr>
    </w:tbl>
    <w:p w:rsidR="00EA184A" w:rsidRDefault="00EA18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EA184A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792"/>
    <w:multiLevelType w:val="multilevel"/>
    <w:tmpl w:val="D5023B1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60F02259"/>
    <w:multiLevelType w:val="multilevel"/>
    <w:tmpl w:val="E71A6BF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4A"/>
    <w:rsid w:val="0015282F"/>
    <w:rsid w:val="00E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1C0C4-A1FA-4739-BA10-65C9CC2B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5KJXsnSusD2aVVEtxIoKP45Uw==">CgMxLjA4AHIhMV9iRTJtWmRRWmppYkNoQlhWZE9TYlhoZnk1NEl4TFNT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2</cp:revision>
  <dcterms:created xsi:type="dcterms:W3CDTF">2025-08-22T07:08:00Z</dcterms:created>
  <dcterms:modified xsi:type="dcterms:W3CDTF">2025-08-22T07:08:00Z</dcterms:modified>
</cp:coreProperties>
</file>